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8A" w:rsidRPr="00BE368A" w:rsidRDefault="00BE368A" w:rsidP="00BE368A">
      <w:pPr>
        <w:spacing w:after="61" w:line="240" w:lineRule="auto"/>
        <w:ind w:left="10" w:right="3" w:hanging="10"/>
        <w:jc w:val="center"/>
        <w:rPr>
          <w:rFonts w:ascii="Times New Roman" w:eastAsiaTheme="minorEastAsia" w:hAnsi="Times New Roman" w:cs="Times New Roman"/>
          <w:b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>ВИТЯГ</w:t>
      </w:r>
    </w:p>
    <w:p w:rsidR="00BE368A" w:rsidRPr="00BE368A" w:rsidRDefault="00BE368A" w:rsidP="00BE368A">
      <w:pPr>
        <w:spacing w:after="61" w:line="240" w:lineRule="auto"/>
        <w:ind w:left="10" w:right="3" w:hanging="10"/>
        <w:jc w:val="center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 з ПРОТОКОЛУ від 19.01.2022 № 1 </w:t>
      </w:r>
    </w:p>
    <w:p w:rsidR="00BE368A" w:rsidRPr="00BE368A" w:rsidRDefault="00BE368A" w:rsidP="00BE368A">
      <w:pPr>
        <w:spacing w:after="61" w:line="240" w:lineRule="auto"/>
        <w:ind w:left="10" w:right="7" w:hanging="10"/>
        <w:jc w:val="center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засідання Колегії з розгляду скарг у сфері </w:t>
      </w:r>
      <w:proofErr w:type="spellStart"/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>закупівель</w:t>
      </w:r>
      <w:proofErr w:type="spellEnd"/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 підприємств </w:t>
      </w:r>
    </w:p>
    <w:p w:rsidR="00BE368A" w:rsidRPr="00BE368A" w:rsidRDefault="00BE368A" w:rsidP="00BE368A">
      <w:pPr>
        <w:spacing w:after="14" w:line="240" w:lineRule="auto"/>
        <w:ind w:left="10" w:right="2" w:hanging="10"/>
        <w:jc w:val="center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>Державного концерну "</w:t>
      </w:r>
      <w:proofErr w:type="spellStart"/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>Укроборонпром</w:t>
      </w:r>
      <w:proofErr w:type="spellEnd"/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>"</w:t>
      </w:r>
      <w:r w:rsidRPr="00BE368A">
        <w:rPr>
          <w:rFonts w:ascii="Times New Roman" w:eastAsiaTheme="minorEastAsia" w:hAnsi="Times New Roman" w:cs="Times New Roman"/>
          <w:b/>
          <w:i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33" w:line="240" w:lineRule="auto"/>
        <w:ind w:left="53"/>
        <w:jc w:val="center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12"/>
        <w:ind w:left="-5" w:hanging="10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u w:val="single" w:color="000000"/>
          <w:lang w:val="uk-UA" w:eastAsia="uk-UA"/>
        </w:rPr>
        <w:t>Слухали:</w:t>
      </w: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60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15"/>
        <w:ind w:left="-5" w:hanging="10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i/>
          <w:color w:val="000000"/>
          <w:u w:val="single" w:color="000000"/>
          <w:lang w:val="uk-UA" w:eastAsia="uk-UA"/>
        </w:rPr>
        <w:t>Щодо першого питання порядку денного:</w:t>
      </w:r>
      <w:r w:rsidRPr="00BE368A">
        <w:rPr>
          <w:rFonts w:ascii="Times New Roman" w:eastAsiaTheme="minorEastAsia" w:hAnsi="Times New Roman" w:cs="Times New Roman"/>
          <w:b/>
          <w:i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0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i/>
          <w:color w:val="000000"/>
          <w:lang w:val="uk-UA" w:eastAsia="uk-UA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5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BE368A" w:rsidRPr="00BE368A" w:rsidTr="00D62245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Найменування суб’єкта оскарження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jc w:val="both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>ТОВ "</w:t>
            </w:r>
            <w:proofErr w:type="spellStart"/>
            <w:r w:rsidRPr="00BE368A">
              <w:rPr>
                <w:rFonts w:ascii="Times New Roman" w:hAnsi="Times New Roman"/>
                <w:color w:val="000000"/>
              </w:rPr>
              <w:t>Імпел</w:t>
            </w:r>
            <w:proofErr w:type="spellEnd"/>
            <w:r w:rsidRPr="00BE368A">
              <w:rPr>
                <w:rFonts w:ascii="Times New Roman" w:hAnsi="Times New Roman"/>
                <w:color w:val="000000"/>
              </w:rPr>
              <w:t xml:space="preserve"> Гріффін Сервіс" (код ЄДРПОУ 38748221, далі – Скаржник) </w:t>
            </w:r>
          </w:p>
        </w:tc>
      </w:tr>
      <w:tr w:rsidR="00BE368A" w:rsidRPr="00BE368A" w:rsidTr="00D62245">
        <w:trPr>
          <w:trHeight w:val="30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Номер процедури закупівлі, яка оскаржується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>UA-2021-12-06-005415-a</w:t>
            </w:r>
            <w:r w:rsidRPr="00BE368A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</w:tc>
      </w:tr>
      <w:tr w:rsidR="00BE368A" w:rsidRPr="00BE368A" w:rsidTr="00D62245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Предмет закупівлі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tabs>
                <w:tab w:val="center" w:pos="1147"/>
                <w:tab w:val="center" w:pos="2057"/>
                <w:tab w:val="center" w:pos="3439"/>
                <w:tab w:val="right" w:pos="4513"/>
              </w:tabs>
              <w:spacing w:after="65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Послуги з </w:t>
            </w:r>
            <w:r w:rsidRPr="00BE368A">
              <w:rPr>
                <w:rFonts w:ascii="Times New Roman" w:hAnsi="Times New Roman"/>
                <w:color w:val="000000"/>
              </w:rPr>
              <w:tab/>
              <w:t xml:space="preserve">прибирання приміщень та </w:t>
            </w:r>
          </w:p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прибудинкової території </w:t>
            </w:r>
          </w:p>
        </w:tc>
      </w:tr>
      <w:tr w:rsidR="00BE368A" w:rsidRPr="00BE368A" w:rsidTr="00D62245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Очікувана вартість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2 837 460,00 грн без ПДВ </w:t>
            </w:r>
          </w:p>
        </w:tc>
      </w:tr>
      <w:tr w:rsidR="00BE368A" w:rsidRPr="00BE368A" w:rsidTr="00D62245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Кваліфікація переможця </w:t>
            </w:r>
          </w:p>
        </w:tc>
      </w:tr>
      <w:tr w:rsidR="00BE368A" w:rsidRPr="00BE368A" w:rsidTr="00D62245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Дата та час подання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05.01.2022 о 18:59 </w:t>
            </w:r>
          </w:p>
        </w:tc>
      </w:tr>
      <w:tr w:rsidR="00BE368A" w:rsidRPr="00BE368A" w:rsidTr="00D62245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Найменування замовника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>ДП "Електричні системи" (далі – Замовник)</w:t>
            </w:r>
            <w:r w:rsidRPr="00BE368A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</w:tc>
      </w:tr>
      <w:tr w:rsidR="00BE368A" w:rsidRPr="00BE368A" w:rsidTr="00D62245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Причина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jc w:val="both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На рішення замовника щодо відхилення пропозиції Скаржника </w:t>
            </w:r>
          </w:p>
        </w:tc>
      </w:tr>
    </w:tbl>
    <w:p w:rsidR="00BE368A" w:rsidRPr="00BE368A" w:rsidRDefault="00BE368A" w:rsidP="00BE368A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i/>
          <w:color w:val="000000"/>
          <w:lang w:val="uk-UA" w:eastAsia="uk-UA"/>
        </w:rPr>
        <w:tab/>
      </w:r>
      <w:r w:rsidRPr="00BE368A">
        <w:rPr>
          <w:rFonts w:ascii="Times New Roman" w:eastAsiaTheme="minorEastAsia" w:hAnsi="Times New Roman" w:cs="Times New Roman"/>
          <w:b/>
          <w:color w:val="000000"/>
          <w:u w:val="single" w:color="000000"/>
          <w:lang w:val="uk-UA" w:eastAsia="uk-UA"/>
        </w:rPr>
        <w:t>Суть скарги: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Скаржник не погоджується з рішенням Замовника щодо відхилення його конкурсної пропозиції (Протокол від 30.12.2021 №20) на підставі: </w:t>
      </w:r>
    </w:p>
    <w:p w:rsidR="00BE368A" w:rsidRPr="00BE368A" w:rsidRDefault="00BE368A" w:rsidP="00BE368A">
      <w:pPr>
        <w:numPr>
          <w:ilvl w:val="0"/>
          <w:numId w:val="1"/>
        </w:numPr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наявності у нього кримінальних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провадженнь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станом на 30.12.2021; </w:t>
      </w:r>
    </w:p>
    <w:p w:rsidR="00BE368A" w:rsidRPr="00BE368A" w:rsidRDefault="00BE368A" w:rsidP="00BE368A">
      <w:pPr>
        <w:numPr>
          <w:ilvl w:val="0"/>
          <w:numId w:val="1"/>
        </w:numPr>
        <w:spacing w:after="12" w:line="240" w:lineRule="auto"/>
        <w:ind w:firstLine="283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наявної заборгованості перед державним бюджетом; </w:t>
      </w:r>
    </w:p>
    <w:p w:rsidR="00BE368A" w:rsidRPr="00BE368A" w:rsidRDefault="00BE368A" w:rsidP="00BE368A">
      <w:pPr>
        <w:numPr>
          <w:ilvl w:val="0"/>
          <w:numId w:val="1"/>
        </w:numPr>
        <w:spacing w:after="12" w:line="240" w:lineRule="auto"/>
        <w:ind w:firstLine="283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відомостей про багаторазові дискваліфікації пропозицій Скаржника іншими організаторами електронних торгівельних майданчиків.  </w:t>
      </w:r>
    </w:p>
    <w:p w:rsidR="00BE368A" w:rsidRPr="00BE368A" w:rsidRDefault="00BE368A" w:rsidP="00BE368A">
      <w:pPr>
        <w:spacing w:after="12" w:line="240" w:lineRule="auto"/>
        <w:ind w:left="-5" w:firstLine="571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Також, у Протоколі-відхилення зазначено, що вказані вище підстави містять репутаційні та економічні ризики для Підприємства. 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Скаржник вказав, що конкурсною документацією (надалі – КД),  не визначено таких  підстав для відхилення пропозиції учасника. 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u w:val="single" w:color="000000"/>
          <w:lang w:val="uk-UA" w:eastAsia="uk-UA"/>
        </w:rPr>
        <w:t>Вимога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: прийняти рішення про встановлення порушень процедури закупівлі, зобов'язати Замовника скасувати рішення Протоколу від 30.12.2021 №20.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u w:val="single" w:color="000000"/>
          <w:lang w:val="uk-UA" w:eastAsia="uk-UA"/>
        </w:rPr>
        <w:t>Встановлено з пояснень Замовника:</w:t>
      </w:r>
      <w:r w:rsidRPr="00BE368A">
        <w:rPr>
          <w:rFonts w:ascii="Times New Roman" w:eastAsiaTheme="minorEastAsia" w:hAnsi="Times New Roman" w:cs="Times New Roman"/>
          <w:i/>
          <w:color w:val="000000"/>
          <w:lang w:val="uk-UA" w:eastAsia="uk-UA"/>
        </w:rPr>
        <w:t xml:space="preserve"> 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рішення відповідальної особи формувалося на підставі інформації, яка була у висновку про результати перевірки контрагента відділом безпеки підприємства Замовника.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Станом на 30.12.2021р. актуальною була інформація про наявність податкового боргу Скаржника перед бюджетом у розмірі 141 145,07 грн.  </w:t>
      </w:r>
    </w:p>
    <w:p w:rsidR="00BE368A" w:rsidRPr="00BE368A" w:rsidRDefault="00BE368A" w:rsidP="00BE368A">
      <w:pPr>
        <w:spacing w:after="12" w:line="240" w:lineRule="auto"/>
        <w:ind w:left="-5" w:firstLine="714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Також, актуальною була інформація про те, що станом на 30.12.2021 р. наявні відомості у ЄДРСР щодо участі постачальника у кримінальних провадженнях. Слідчим управлінням фінансових розслідувань ГУ ДФС у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м.Києві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проводиться досудове розслідування у кримінальному провадженні №32021100000000097 від 26.01.2021 за ознаками кримінального правопорушення, передбаченого ч. 3 ст. 212 КК України. У ході досудового розслідування вищевказаного кримінального провадження встановлено, що у період з 01.01.2019 по 30.12.2020 службові особи ТОВ "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Лінік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Юкрейн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" (код ЄДРПОУ 42581746) здійснювали торгівлю твердим, рідким та газоподібним паливом та подібними продуктами. При цьому, податковий кредит з ПДВ ТОВ "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Лінік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Юкрейн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" незаконно сформувало від підприємств з ознаками транзитно-конвертаційних груп, до яких входять ряд СГД, зокрема Скаржник. </w:t>
      </w:r>
    </w:p>
    <w:p w:rsidR="00BE368A" w:rsidRDefault="00BE368A" w:rsidP="00BE368A">
      <w:pPr>
        <w:spacing w:after="0" w:line="304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u w:val="single" w:color="000000"/>
          <w:lang w:val="uk-UA" w:eastAsia="uk-UA"/>
        </w:rPr>
        <w:t>Встановлено з пояснень відділу моніторингу: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при повторному розгляді конкурсної пропозиції Скаржника виявлено наступні невідповідності його пропозиції: </w:t>
      </w:r>
    </w:p>
    <w:p w:rsidR="00BE368A" w:rsidRDefault="00BE368A" w:rsidP="00BE368A">
      <w:pPr>
        <w:spacing w:after="0" w:line="304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</w:p>
    <w:p w:rsidR="00BE368A" w:rsidRPr="00BE368A" w:rsidRDefault="00BE368A" w:rsidP="00BE368A">
      <w:pPr>
        <w:spacing w:after="0" w:line="304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bookmarkStart w:id="0" w:name="_GoBack"/>
      <w:bookmarkEnd w:id="0"/>
    </w:p>
    <w:tbl>
      <w:tblPr>
        <w:tblStyle w:val="TableGrid"/>
        <w:tblW w:w="9347" w:type="dxa"/>
        <w:tblInd w:w="5" w:type="dxa"/>
        <w:tblCellMar>
          <w:top w:w="5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BE368A" w:rsidRPr="00BE368A" w:rsidTr="00D62245">
        <w:trPr>
          <w:trHeight w:val="51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b/>
                <w:color w:val="000000"/>
              </w:rPr>
              <w:lastRenderedPageBreak/>
              <w:t xml:space="preserve">Вимога КД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b/>
                <w:color w:val="000000"/>
              </w:rPr>
              <w:t xml:space="preserve">Документи надані Скаржником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8A" w:rsidRPr="00BE368A" w:rsidRDefault="00BE368A" w:rsidP="00BE368A">
            <w:pPr>
              <w:ind w:right="55"/>
              <w:jc w:val="center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b/>
                <w:color w:val="000000"/>
              </w:rPr>
              <w:t xml:space="preserve">Примітка </w:t>
            </w:r>
          </w:p>
        </w:tc>
      </w:tr>
      <w:tr w:rsidR="00BE368A" w:rsidRPr="00BE368A" w:rsidTr="00D62245">
        <w:trPr>
          <w:trHeight w:val="448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8A" w:rsidRPr="00BE368A" w:rsidRDefault="00BE368A" w:rsidP="00BE368A">
            <w:pPr>
              <w:spacing w:line="257" w:lineRule="auto"/>
              <w:ind w:right="54"/>
              <w:jc w:val="both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П. 6 Додатку 1 КД </w:t>
            </w:r>
            <w:r w:rsidRPr="00BE368A">
              <w:rPr>
                <w:rFonts w:ascii="Times New Roman" w:hAnsi="Times New Roman"/>
                <w:i/>
                <w:color w:val="000000"/>
              </w:rPr>
              <w:t>"копія довідки про склад діючої комісії з охорони праці</w:t>
            </w:r>
            <w:r w:rsidRPr="00BE368A">
              <w:rPr>
                <w:rFonts w:ascii="Times New Roman" w:hAnsi="Times New Roman"/>
                <w:color w:val="000000"/>
              </w:rPr>
              <w:t xml:space="preserve"> (надалі – ОП)</w:t>
            </w:r>
            <w:r w:rsidRPr="00BE368A">
              <w:rPr>
                <w:rFonts w:ascii="Times New Roman" w:hAnsi="Times New Roman"/>
                <w:i/>
                <w:color w:val="000000"/>
              </w:rPr>
              <w:t xml:space="preserve"> та копії посвідчень про проходження навчання з </w:t>
            </w:r>
          </w:p>
          <w:p w:rsidR="00BE368A" w:rsidRPr="00BE368A" w:rsidRDefault="00BE368A" w:rsidP="00BE368A">
            <w:pPr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i/>
                <w:color w:val="000000"/>
              </w:rPr>
              <w:t>охорони праці працівниками"</w:t>
            </w:r>
            <w:r w:rsidRPr="00BE368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8A" w:rsidRPr="00BE368A" w:rsidRDefault="00BE368A" w:rsidP="00BE368A">
            <w:pPr>
              <w:ind w:right="52"/>
              <w:jc w:val="both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На виконання вимоги надано витяг з протоколу від 28.10..2021 №397-21 щодо перевірки знання чинних законодавчих актів і нормативних документів з законодавства України з ОП, пожежної безпеки тощо. Навчання проходили директор, головний інженер та інженер з охорони праці  товариства </w:t>
            </w:r>
            <w:r w:rsidRPr="00BE368A">
              <w:rPr>
                <w:rFonts w:ascii="Times New Roman" w:hAnsi="Times New Roman"/>
                <w:color w:val="000000"/>
              </w:rPr>
              <w:tab/>
              <w:t xml:space="preserve">Скаржника. Додатково </w:t>
            </w:r>
            <w:r w:rsidRPr="00BE368A">
              <w:rPr>
                <w:rFonts w:ascii="Times New Roman" w:hAnsi="Times New Roman"/>
                <w:color w:val="000000"/>
              </w:rPr>
              <w:tab/>
              <w:t xml:space="preserve">надано </w:t>
            </w:r>
            <w:r w:rsidRPr="00BE368A">
              <w:rPr>
                <w:rFonts w:ascii="Times New Roman" w:hAnsi="Times New Roman"/>
                <w:color w:val="000000"/>
              </w:rPr>
              <w:tab/>
              <w:t xml:space="preserve">копії посвідчень про проходження навчання з ОП зазначеними особами.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8A" w:rsidRPr="00BE368A" w:rsidRDefault="00BE368A" w:rsidP="00BE368A">
            <w:pPr>
              <w:ind w:right="52"/>
              <w:jc w:val="both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Наданий Скаржником документ не підтверджує факту діючої у товариства комісії з ОП, а лише підтверджує проходження навчання керівництвом товариства. Крім того, дані особи не виступатимуть виконавцями послуг. Крім того, у даному випадку, доцільніше запитувати копії </w:t>
            </w:r>
          </w:p>
          <w:p w:rsidR="00BE368A" w:rsidRPr="00BE368A" w:rsidRDefault="00BE368A" w:rsidP="00BE368A">
            <w:pPr>
              <w:ind w:right="52"/>
              <w:jc w:val="both"/>
              <w:rPr>
                <w:rFonts w:ascii="Times New Roman" w:hAnsi="Times New Roman"/>
                <w:color w:val="000000"/>
              </w:rPr>
            </w:pPr>
            <w:r w:rsidRPr="00BE368A">
              <w:rPr>
                <w:rFonts w:ascii="Times New Roman" w:hAnsi="Times New Roman"/>
                <w:color w:val="000000"/>
              </w:rPr>
              <w:t xml:space="preserve">посвідчень безпосередньо в осіб, які будуть залучені при виконанні робіт. </w:t>
            </w:r>
          </w:p>
        </w:tc>
      </w:tr>
    </w:tbl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Слід зауважити, що Порядком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закупівель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підприємствами Концерну, затвердженого наказом від 29.11.2019 №333 зі змінами та доповненнями (надалі – Порядок) та КД не передбачено підстав для відхилення конкурсної пропозиції учасника, які зазначено у Протоколі від 30.12.2021 №20. 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Крім того, умовами оплати, в оскаржуваній закупівлі, встановлені як 100% післяплата протягом 15 банківських днів з моменту підписання акту наданих послуг. А також, відповідно до п. 5.4 КД Замовник вимагає від учасників забезпечення виконання договору у розмірі 2% від вартості. </w:t>
      </w:r>
    </w:p>
    <w:p w:rsidR="00BE368A" w:rsidRPr="00BE368A" w:rsidRDefault="00BE368A" w:rsidP="00BE368A">
      <w:pPr>
        <w:spacing w:after="58" w:line="240" w:lineRule="auto"/>
        <w:ind w:left="718" w:hanging="10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b/>
          <w:color w:val="000000"/>
          <w:u w:val="single" w:color="000000"/>
          <w:lang w:val="uk-UA" w:eastAsia="uk-UA"/>
        </w:rPr>
        <w:t>Вирішили:</w:t>
      </w: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57" w:line="240" w:lineRule="auto"/>
        <w:ind w:left="86"/>
        <w:jc w:val="center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Враховуючи наявну інформацію, </w:t>
      </w: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задовольнити 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скаргу ТОВ "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Імпел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Гріффін Сервіс".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Секретарю Колегії підготувати та направити до Замовника та Скаржника інформацію про результати розгляду скарги наступного змісту: </w:t>
      </w: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 xml:space="preserve"> 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i/>
          <w:color w:val="000000"/>
          <w:u w:val="single" w:color="000000"/>
          <w:lang w:val="uk-UA" w:eastAsia="uk-UA"/>
        </w:rPr>
        <w:t>Замовнику</w:t>
      </w:r>
      <w:r w:rsidRPr="00BE368A">
        <w:rPr>
          <w:rFonts w:ascii="Times New Roman" w:eastAsiaTheme="minorEastAsia" w:hAnsi="Times New Roman" w:cs="Times New Roman"/>
          <w:color w:val="000000"/>
          <w:u w:val="single" w:color="000000"/>
          <w:lang w:val="uk-UA" w:eastAsia="uk-UA"/>
        </w:rPr>
        <w:t>: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скаргу задоволено. При розгляді скарги встановлено, що підстави на які спирається підприємство Замовника при відхилені пропозиції Скаржника не передбачені Порядком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закупівель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та КД. Таким чином, Замовник не мав підстав для відхилення пропозиції Скаржника.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Крім того, при повторному аналізі пропозиції Скаржника виявлено, що він не виконав вимогу п. 6 Додатку 1 КД.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Враховуючи викладене, на виконання рішення Колегії з розгляду скарг необхідно скасувати рішення Протоколу від 30.12.2021 №20 щодо відхилення конкурсної пропозиції ТОВ "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Імпел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Гріффін Сервіс" та направити йому вимогу про усунення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невідповідностей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в його пропозиції протягом 24 годин (зокрема в частині п. 6 Додатку 1 КД). По результату повторної оцінки учасника (у разі повної відповідності конкурсної пропозиції учасника) завершити процедуру закупівлі прийняттям відповідного рішення.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Інформацію щодо виконання рішення Колегії з розгляду скарг повідомити до </w:t>
      </w:r>
      <w:r w:rsidRPr="00BE368A">
        <w:rPr>
          <w:rFonts w:ascii="Times New Roman" w:eastAsiaTheme="minorEastAsia" w:hAnsi="Times New Roman" w:cs="Times New Roman"/>
          <w:b/>
          <w:color w:val="000000"/>
          <w:lang w:val="uk-UA" w:eastAsia="uk-UA"/>
        </w:rPr>
        <w:t>"28" січня 2022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на електронну адресу </w:t>
      </w:r>
      <w:r w:rsidRPr="00BE368A">
        <w:rPr>
          <w:rFonts w:ascii="Times New Roman" w:eastAsiaTheme="minorEastAsia" w:hAnsi="Times New Roman" w:cs="Times New Roman"/>
          <w:color w:val="0563C1"/>
          <w:u w:val="single" w:color="0563C1"/>
          <w:lang w:val="uk-UA" w:eastAsia="uk-UA"/>
        </w:rPr>
        <w:t>control@ukroboronprom.com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.   </w:t>
      </w:r>
    </w:p>
    <w:p w:rsidR="00BE368A" w:rsidRPr="00BE368A" w:rsidRDefault="00BE368A" w:rsidP="00BE368A">
      <w:pPr>
        <w:spacing w:after="12" w:line="240" w:lineRule="auto"/>
        <w:ind w:left="-5" w:firstLine="698"/>
        <w:jc w:val="both"/>
        <w:rPr>
          <w:rFonts w:ascii="Times New Roman" w:eastAsiaTheme="minorEastAsia" w:hAnsi="Times New Roman" w:cs="Times New Roman"/>
          <w:color w:val="000000"/>
          <w:lang w:val="uk-UA" w:eastAsia="uk-UA"/>
        </w:rPr>
      </w:pPr>
      <w:r w:rsidRPr="00BE368A">
        <w:rPr>
          <w:rFonts w:ascii="Times New Roman" w:eastAsiaTheme="minorEastAsia" w:hAnsi="Times New Roman" w:cs="Times New Roman"/>
          <w:i/>
          <w:color w:val="000000"/>
          <w:u w:val="single" w:color="000000"/>
          <w:lang w:val="uk-UA" w:eastAsia="uk-UA"/>
        </w:rPr>
        <w:t>Скаржнику:</w:t>
      </w:r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скаргу задоволено. На виконання рішення Колегії з розгляду скарг Замовником буде скасовано рішення Протоколу від 30.12.2021 №20 щодо відхилення конкурсної пропозиції ТОВ "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Імпел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Гріффін Сервіс" та направлено до товариства вимогу про усунення </w:t>
      </w:r>
      <w:proofErr w:type="spellStart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>невідповідностей</w:t>
      </w:r>
      <w:proofErr w:type="spellEnd"/>
      <w:r w:rsidRPr="00BE368A">
        <w:rPr>
          <w:rFonts w:ascii="Times New Roman" w:eastAsiaTheme="minorEastAsia" w:hAnsi="Times New Roman" w:cs="Times New Roman"/>
          <w:color w:val="000000"/>
          <w:lang w:val="uk-UA" w:eastAsia="uk-UA"/>
        </w:rPr>
        <w:t xml:space="preserve"> в його пропозиції протягом 24 годин (зокрема в частині надання документів згідно п. 6 Додатку 1 КД). По результату повторної оцінки учасника (у разі повної відповідності конкурсній пропозиції учасника) процедуру закупівлі буде завершено прийняттям відповідного рішення.   </w:t>
      </w:r>
    </w:p>
    <w:p w:rsidR="00E1361C" w:rsidRPr="00BE368A" w:rsidRDefault="00E1361C">
      <w:pPr>
        <w:rPr>
          <w:lang w:val="uk-UA"/>
        </w:rPr>
      </w:pPr>
    </w:p>
    <w:sectPr w:rsidR="00E1361C" w:rsidRPr="00BE368A" w:rsidSect="007C1F8A">
      <w:footerReference w:type="even" r:id="rId5"/>
      <w:footerReference w:type="default" r:id="rId6"/>
      <w:footerReference w:type="first" r:id="rId7"/>
      <w:pgSz w:w="11906" w:h="16838"/>
      <w:pgMar w:top="1134" w:right="845" w:bottom="168" w:left="1702" w:header="708" w:footer="5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F8A" w:rsidRDefault="00BE368A">
    <w:pPr>
      <w:spacing w:after="0"/>
      <w:ind w:right="857"/>
      <w:jc w:val="center"/>
    </w:pPr>
    <w:r>
      <w:t xml:space="preserve">№ 1 </w:t>
    </w:r>
    <w:proofErr w:type="spellStart"/>
    <w:r>
      <w:t>від</w:t>
    </w:r>
    <w:proofErr w:type="spellEnd"/>
    <w:r>
      <w:t xml:space="preserve"> 19.01.2022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F8A" w:rsidRDefault="00BE368A">
    <w:pPr>
      <w:spacing w:after="0"/>
      <w:ind w:right="857"/>
      <w:jc w:val="center"/>
    </w:pPr>
    <w:r>
      <w:t xml:space="preserve">№ 1 </w:t>
    </w:r>
    <w:proofErr w:type="spellStart"/>
    <w:r>
      <w:t>від</w:t>
    </w:r>
    <w:proofErr w:type="spellEnd"/>
    <w:r>
      <w:t xml:space="preserve"> 19.01.2022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F8A" w:rsidRDefault="00BE368A">
    <w:pPr>
      <w:spacing w:after="0"/>
      <w:ind w:right="857"/>
      <w:jc w:val="center"/>
    </w:pPr>
    <w:r>
      <w:t xml:space="preserve">№ 1 </w:t>
    </w:r>
    <w:proofErr w:type="spellStart"/>
    <w:r>
      <w:t>від</w:t>
    </w:r>
    <w:proofErr w:type="spellEnd"/>
    <w:r>
      <w:t xml:space="preserve"> 19.01.2022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12FDE"/>
    <w:multiLevelType w:val="hybridMultilevel"/>
    <w:tmpl w:val="0E4CDF14"/>
    <w:lvl w:ilvl="0" w:tplc="BBAE9DE6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A4885CA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1200FE4A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410F5E2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7CBCAA9E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F1BC5CCA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5544548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7C2AE44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3D87BCC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8A"/>
    <w:rsid w:val="00BE368A"/>
    <w:rsid w:val="00E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7651"/>
  <w15:chartTrackingRefBased/>
  <w15:docId w15:val="{38DFBECE-B7A0-422E-ABB3-66454E36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368A"/>
    <w:pPr>
      <w:spacing w:after="0" w:line="240" w:lineRule="auto"/>
    </w:pPr>
    <w:rPr>
      <w:rFonts w:eastAsiaTheme="minorEastAsia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</cp:revision>
  <dcterms:created xsi:type="dcterms:W3CDTF">2022-01-21T09:49:00Z</dcterms:created>
  <dcterms:modified xsi:type="dcterms:W3CDTF">2022-01-21T09:49:00Z</dcterms:modified>
</cp:coreProperties>
</file>