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51E" w:rsidRDefault="0081151E">
      <w:pPr>
        <w:spacing w:after="63" w:line="259" w:lineRule="auto"/>
        <w:ind w:left="0" w:right="61" w:firstLine="0"/>
        <w:jc w:val="center"/>
        <w:rPr>
          <w:b/>
          <w:lang w:val="ru-RU"/>
        </w:rPr>
      </w:pPr>
      <w:r>
        <w:rPr>
          <w:b/>
          <w:lang w:val="ru-RU"/>
        </w:rPr>
        <w:t xml:space="preserve">ВИТЯГ </w:t>
      </w:r>
    </w:p>
    <w:p w:rsidR="00B25379" w:rsidRDefault="0081151E" w:rsidP="0081151E">
      <w:pPr>
        <w:spacing w:after="63" w:line="259" w:lineRule="auto"/>
        <w:ind w:left="0" w:right="61" w:firstLine="0"/>
        <w:jc w:val="center"/>
      </w:pPr>
      <w:r>
        <w:rPr>
          <w:b/>
          <w:lang w:val="ru-RU"/>
        </w:rPr>
        <w:t xml:space="preserve">з </w:t>
      </w:r>
      <w:r>
        <w:rPr>
          <w:b/>
        </w:rPr>
        <w:t>Протокол</w:t>
      </w:r>
      <w:r>
        <w:rPr>
          <w:b/>
          <w:lang w:val="ru-RU"/>
        </w:rPr>
        <w:t>у</w:t>
      </w:r>
      <w:r>
        <w:rPr>
          <w:b/>
        </w:rPr>
        <w:t xml:space="preserve"> № 24</w:t>
      </w:r>
      <w:r>
        <w:rPr>
          <w:b/>
          <w:lang w:val="ru-RU"/>
        </w:rPr>
        <w:t xml:space="preserve"> </w:t>
      </w:r>
      <w:r>
        <w:rPr>
          <w:b/>
        </w:rPr>
        <w:t xml:space="preserve">засідання Колегії з розгляду скарг у сфері закупівель підприємств </w:t>
      </w:r>
    </w:p>
    <w:p w:rsidR="00B25379" w:rsidRDefault="0081151E">
      <w:pPr>
        <w:spacing w:after="14" w:line="259" w:lineRule="auto"/>
        <w:ind w:left="2641"/>
        <w:jc w:val="left"/>
      </w:pPr>
      <w:r>
        <w:rPr>
          <w:b/>
        </w:rPr>
        <w:t>Державного концерну «Укроборонпром»</w:t>
      </w:r>
      <w:r>
        <w:rPr>
          <w:b/>
          <w:i/>
        </w:rPr>
        <w:t xml:space="preserve"> </w:t>
      </w:r>
    </w:p>
    <w:p w:rsidR="00B25379" w:rsidRDefault="0081151E">
      <w:pPr>
        <w:spacing w:after="38" w:line="259" w:lineRule="auto"/>
        <w:ind w:left="0" w:right="6" w:firstLine="0"/>
        <w:jc w:val="center"/>
      </w:pPr>
      <w:r>
        <w:t xml:space="preserve"> </w:t>
      </w:r>
    </w:p>
    <w:p w:rsidR="00B25379" w:rsidRDefault="0081151E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980"/>
        </w:tabs>
        <w:ind w:left="-15" w:firstLine="0"/>
        <w:jc w:val="left"/>
      </w:pPr>
      <w:r>
        <w:t xml:space="preserve">м. Київ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«23» червня 2021 р </w:t>
      </w:r>
    </w:p>
    <w:p w:rsidR="00B25379" w:rsidRDefault="0081151E">
      <w:pPr>
        <w:spacing w:after="58" w:line="259" w:lineRule="auto"/>
        <w:ind w:left="0" w:firstLine="0"/>
        <w:jc w:val="left"/>
      </w:pPr>
      <w:r>
        <w:rPr>
          <w:i/>
        </w:rPr>
        <w:t xml:space="preserve"> </w:t>
      </w:r>
    </w:p>
    <w:p w:rsidR="00B25379" w:rsidRDefault="00B25379">
      <w:pPr>
        <w:spacing w:after="60" w:line="259" w:lineRule="auto"/>
        <w:ind w:left="0" w:firstLine="0"/>
        <w:jc w:val="left"/>
      </w:pPr>
    </w:p>
    <w:p w:rsidR="00B25379" w:rsidRDefault="0081151E">
      <w:pPr>
        <w:spacing w:after="56" w:line="259" w:lineRule="auto"/>
        <w:ind w:left="-5"/>
        <w:jc w:val="left"/>
      </w:pPr>
      <w:r>
        <w:rPr>
          <w:b/>
          <w:u w:val="single" w:color="000000"/>
        </w:rPr>
        <w:t>Порядок денний:</w:t>
      </w:r>
      <w:r>
        <w:rPr>
          <w:b/>
        </w:rPr>
        <w:t xml:space="preserve"> </w:t>
      </w:r>
    </w:p>
    <w:p w:rsidR="0081151E" w:rsidRDefault="0081151E">
      <w:pPr>
        <w:numPr>
          <w:ilvl w:val="0"/>
          <w:numId w:val="2"/>
        </w:numPr>
        <w:ind w:right="49"/>
      </w:pPr>
    </w:p>
    <w:p w:rsidR="0081151E" w:rsidRDefault="0081151E">
      <w:pPr>
        <w:numPr>
          <w:ilvl w:val="0"/>
          <w:numId w:val="2"/>
        </w:numPr>
        <w:ind w:right="49"/>
      </w:pPr>
    </w:p>
    <w:p w:rsidR="0081151E" w:rsidRDefault="0081151E">
      <w:pPr>
        <w:numPr>
          <w:ilvl w:val="0"/>
          <w:numId w:val="2"/>
        </w:numPr>
        <w:ind w:right="49"/>
      </w:pPr>
    </w:p>
    <w:p w:rsidR="00B25379" w:rsidRDefault="0081151E" w:rsidP="0081151E">
      <w:pPr>
        <w:numPr>
          <w:ilvl w:val="0"/>
          <w:numId w:val="2"/>
        </w:numPr>
        <w:ind w:right="49"/>
      </w:pPr>
      <w:r>
        <w:t>Розгляд скарги ТОВ «</w:t>
      </w:r>
      <w:proofErr w:type="spellStart"/>
      <w:r>
        <w:t>Юкойл</w:t>
      </w:r>
      <w:proofErr w:type="spellEnd"/>
      <w:r>
        <w:t>» щодо неправомірного визначення перемож</w:t>
      </w:r>
      <w:r>
        <w:t xml:space="preserve">ця торгів           </w:t>
      </w:r>
      <w:r>
        <w:rPr>
          <w:lang w:val="ru-RU"/>
        </w:rPr>
        <w:t xml:space="preserve">   </w:t>
      </w:r>
      <w:r>
        <w:t xml:space="preserve">     ДП «Антонов» у закупівлі авіаційного палива (UA-2021-05-24-001596-b), очікуваною вартістю </w:t>
      </w:r>
      <w:r>
        <w:rPr>
          <w:lang w:val="ru-RU"/>
        </w:rPr>
        <w:t xml:space="preserve">         </w:t>
      </w:r>
      <w:r>
        <w:t>20 590 000,00 грн без ПДВ.</w:t>
      </w:r>
      <w:r w:rsidRPr="0081151E">
        <w:rPr>
          <w:b/>
        </w:rPr>
        <w:t xml:space="preserve"> </w:t>
      </w:r>
    </w:p>
    <w:p w:rsidR="00B25379" w:rsidRDefault="00B25379">
      <w:pPr>
        <w:spacing w:after="25" w:line="259" w:lineRule="auto"/>
        <w:ind w:left="0" w:firstLine="0"/>
        <w:jc w:val="left"/>
      </w:pPr>
    </w:p>
    <w:p w:rsidR="00B25379" w:rsidRDefault="0081151E">
      <w:pPr>
        <w:spacing w:after="0" w:line="259" w:lineRule="auto"/>
        <w:ind w:left="-5"/>
        <w:jc w:val="left"/>
      </w:pPr>
      <w:r>
        <w:rPr>
          <w:b/>
          <w:u w:val="single" w:color="000000"/>
        </w:rPr>
        <w:t>Слухали:</w:t>
      </w:r>
      <w:r>
        <w:rPr>
          <w:b/>
        </w:rPr>
        <w:t xml:space="preserve"> </w:t>
      </w:r>
    </w:p>
    <w:p w:rsidR="00B25379" w:rsidRDefault="0081151E">
      <w:pPr>
        <w:spacing w:after="60" w:line="259" w:lineRule="auto"/>
        <w:ind w:left="0" w:firstLine="0"/>
        <w:jc w:val="left"/>
      </w:pPr>
      <w:r>
        <w:rPr>
          <w:b/>
        </w:rPr>
        <w:t xml:space="preserve"> </w:t>
      </w:r>
    </w:p>
    <w:p w:rsidR="00B25379" w:rsidRDefault="0081151E">
      <w:pPr>
        <w:spacing w:after="15" w:line="259" w:lineRule="auto"/>
        <w:ind w:left="-5"/>
        <w:jc w:val="left"/>
      </w:pPr>
      <w:r>
        <w:rPr>
          <w:b/>
          <w:i/>
          <w:u w:val="single" w:color="000000"/>
        </w:rPr>
        <w:t xml:space="preserve">Щодо четвертого </w:t>
      </w:r>
      <w:r>
        <w:rPr>
          <w:b/>
          <w:i/>
          <w:u w:val="single" w:color="000000"/>
        </w:rPr>
        <w:t>питання порядку денного:</w:t>
      </w:r>
      <w:r>
        <w:rPr>
          <w:b/>
          <w:i/>
        </w:rPr>
        <w:t xml:space="preserve"> </w:t>
      </w:r>
    </w:p>
    <w:p w:rsidR="00B25379" w:rsidRDefault="0081151E">
      <w:pPr>
        <w:spacing w:after="57" w:line="259" w:lineRule="auto"/>
        <w:ind w:left="0" w:firstLine="0"/>
        <w:jc w:val="left"/>
      </w:pPr>
      <w:r>
        <w:rPr>
          <w:b/>
          <w:i/>
        </w:rPr>
        <w:t xml:space="preserve"> </w:t>
      </w:r>
    </w:p>
    <w:p w:rsidR="00B25379" w:rsidRDefault="0081151E">
      <w:pPr>
        <w:ind w:left="-15" w:right="49" w:firstLine="708"/>
      </w:pPr>
      <w:r>
        <w:t>Секретар</w:t>
      </w:r>
      <w:r>
        <w:rPr>
          <w:b/>
        </w:rPr>
        <w:t xml:space="preserve"> </w:t>
      </w:r>
      <w:r>
        <w:t>Колегії повідомила, що ДП «Антонов» (далі – Замовник) проводило конкурс на закупівлю авіаційного палива (UA-2021-05-24-001596-b). Згідно з інформацією, розміщеною у системі «</w:t>
      </w:r>
      <w:proofErr w:type="spellStart"/>
      <w:r>
        <w:t>Prozorro</w:t>
      </w:r>
      <w:proofErr w:type="spellEnd"/>
      <w:r>
        <w:t>», свої пропозиції для участі у закуп</w:t>
      </w:r>
      <w:r>
        <w:t xml:space="preserve">івлі подали наступні учасники: </w:t>
      </w:r>
    </w:p>
    <w:p w:rsidR="00B25379" w:rsidRDefault="0081151E">
      <w:pPr>
        <w:spacing w:after="19" w:line="259" w:lineRule="auto"/>
        <w:ind w:left="708" w:firstLine="0"/>
        <w:jc w:val="left"/>
      </w:pPr>
      <w:r>
        <w:rPr>
          <w:rFonts w:ascii="Tahoma" w:eastAsia="Tahoma" w:hAnsi="Tahoma" w:cs="Tahoma"/>
          <w:sz w:val="19"/>
        </w:rPr>
        <w:t xml:space="preserve"> </w:t>
      </w:r>
    </w:p>
    <w:p w:rsidR="00B25379" w:rsidRDefault="0081151E">
      <w:pPr>
        <w:spacing w:after="0" w:line="259" w:lineRule="auto"/>
        <w:ind w:left="-1" w:right="2133" w:firstLine="0"/>
        <w:jc w:val="center"/>
      </w:pPr>
      <w:r>
        <w:rPr>
          <w:noProof/>
        </w:rPr>
        <w:drawing>
          <wp:inline distT="0" distB="0" distL="0" distR="0">
            <wp:extent cx="4590670" cy="2476500"/>
            <wp:effectExtent l="0" t="0" r="0" b="0"/>
            <wp:docPr id="1501" name="Picture 15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" name="Picture 15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067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</w:t>
      </w:r>
    </w:p>
    <w:p w:rsidR="00B25379" w:rsidRDefault="0081151E">
      <w:pPr>
        <w:spacing w:after="57" w:line="259" w:lineRule="auto"/>
        <w:ind w:left="708" w:firstLine="0"/>
        <w:jc w:val="left"/>
      </w:pPr>
      <w:r>
        <w:rPr>
          <w:b/>
        </w:rPr>
        <w:t xml:space="preserve"> </w:t>
      </w:r>
    </w:p>
    <w:p w:rsidR="00B25379" w:rsidRDefault="0081151E">
      <w:pPr>
        <w:ind w:left="-15" w:right="49" w:firstLine="708"/>
      </w:pPr>
      <w:r>
        <w:rPr>
          <w:b/>
          <w:u w:val="single" w:color="000000"/>
        </w:rPr>
        <w:t>Суть скарги:</w:t>
      </w:r>
      <w:r>
        <w:t xml:space="preserve"> ТОВ «</w:t>
      </w:r>
      <w:proofErr w:type="spellStart"/>
      <w:r>
        <w:t>Юкойл</w:t>
      </w:r>
      <w:proofErr w:type="spellEnd"/>
      <w:r>
        <w:t>» (далі – Скаржник) не погоджується з рішенням Замовника щодо визначення переможцем торгів ТОВ «ТД «</w:t>
      </w:r>
      <w:proofErr w:type="spellStart"/>
      <w:r>
        <w:t>Сокар</w:t>
      </w:r>
      <w:proofErr w:type="spellEnd"/>
      <w:r>
        <w:t xml:space="preserve"> Україна» (далі – Товариство), через невиконання Товариством вимог конкурсної документаці</w:t>
      </w:r>
      <w:r>
        <w:t xml:space="preserve">ї, а саме: </w:t>
      </w:r>
    </w:p>
    <w:p w:rsidR="00B25379" w:rsidRDefault="0081151E">
      <w:pPr>
        <w:numPr>
          <w:ilvl w:val="0"/>
          <w:numId w:val="6"/>
        </w:numPr>
        <w:ind w:right="49"/>
      </w:pPr>
      <w:r>
        <w:t>п. 1 Додатку 1 конкурсної документації</w:t>
      </w:r>
      <w:r>
        <w:rPr>
          <w:i/>
        </w:rPr>
        <w:t xml:space="preserve"> «перелік документів, що вимагається згідно з конкурсною документацією у складі пропозиції» - </w:t>
      </w:r>
      <w:r>
        <w:t xml:space="preserve">надано лише один лист-відгук від одного контрагента; </w:t>
      </w:r>
    </w:p>
    <w:p w:rsidR="00B25379" w:rsidRDefault="0081151E">
      <w:pPr>
        <w:numPr>
          <w:ilvl w:val="0"/>
          <w:numId w:val="6"/>
        </w:numPr>
        <w:ind w:right="49"/>
      </w:pPr>
      <w:r>
        <w:t xml:space="preserve">п. 2 Додатку 1 конкурсної документації </w:t>
      </w:r>
      <w:r>
        <w:rPr>
          <w:i/>
        </w:rPr>
        <w:t>«перелік документів</w:t>
      </w:r>
      <w:r>
        <w:rPr>
          <w:i/>
        </w:rPr>
        <w:t>, що вимагається згідно з конкурсною документацією у складі пропозиції» -</w:t>
      </w:r>
      <w:r>
        <w:t xml:space="preserve"> надано нечинні сертифікати відповідності на запропоновану продукцію; </w:t>
      </w:r>
    </w:p>
    <w:p w:rsidR="00B25379" w:rsidRDefault="0081151E">
      <w:pPr>
        <w:numPr>
          <w:ilvl w:val="0"/>
          <w:numId w:val="6"/>
        </w:numPr>
        <w:spacing w:after="9" w:line="306" w:lineRule="auto"/>
        <w:ind w:right="49"/>
      </w:pPr>
      <w:r>
        <w:lastRenderedPageBreak/>
        <w:t xml:space="preserve">надано лише одну </w:t>
      </w:r>
      <w:proofErr w:type="spellStart"/>
      <w:r>
        <w:t>конкурсно</w:t>
      </w:r>
      <w:proofErr w:type="spellEnd"/>
      <w:r>
        <w:t>-цінову пропозицію, у якій зазначено кінцеву вартість товару; 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Додаток 3 конкурсної</w:t>
      </w:r>
      <w:r>
        <w:t xml:space="preserve"> документації </w:t>
      </w:r>
      <w:r>
        <w:rPr>
          <w:i/>
        </w:rPr>
        <w:t xml:space="preserve">«технічна специфікація» - </w:t>
      </w:r>
      <w:r>
        <w:t xml:space="preserve">розрахунок ціни на авіаційне паливо не відповідає умовам конкурсної документації. У наданому розрахунку допущено помилку, що призвело до суттєвого завищення маржі; </w:t>
      </w:r>
    </w:p>
    <w:p w:rsidR="00B25379" w:rsidRDefault="0081151E">
      <w:pPr>
        <w:ind w:left="-5" w:right="49"/>
      </w:pPr>
      <w:r>
        <w:t>5.</w:t>
      </w:r>
      <w:r>
        <w:rPr>
          <w:rFonts w:ascii="Arial" w:eastAsia="Arial" w:hAnsi="Arial" w:cs="Arial"/>
        </w:rPr>
        <w:t xml:space="preserve"> </w:t>
      </w:r>
      <w:r>
        <w:t>п. 5 конкурсної документації – строк дії конкурс</w:t>
      </w:r>
      <w:r>
        <w:t xml:space="preserve">ної пропозиції має становити 90 </w:t>
      </w:r>
      <w:proofErr w:type="spellStart"/>
      <w:r>
        <w:t>к.д</w:t>
      </w:r>
      <w:proofErr w:type="spellEnd"/>
      <w:r>
        <w:t>. У наданій ТОВ «ТД «</w:t>
      </w:r>
      <w:proofErr w:type="spellStart"/>
      <w:r>
        <w:t>Сокар</w:t>
      </w:r>
      <w:proofErr w:type="spellEnd"/>
      <w:r>
        <w:t xml:space="preserve"> Україна» </w:t>
      </w:r>
      <w:proofErr w:type="spellStart"/>
      <w:r>
        <w:t>конкурсно</w:t>
      </w:r>
      <w:proofErr w:type="spellEnd"/>
      <w:r>
        <w:t xml:space="preserve">-ціновій пропозиції даний термін становить 60 </w:t>
      </w:r>
      <w:proofErr w:type="spellStart"/>
      <w:r>
        <w:t>к.д</w:t>
      </w:r>
      <w:proofErr w:type="spellEnd"/>
      <w:r>
        <w:t xml:space="preserve">. </w:t>
      </w:r>
    </w:p>
    <w:p w:rsidR="00B25379" w:rsidRDefault="0081151E" w:rsidP="0081151E">
      <w:pPr>
        <w:spacing w:after="57" w:line="259" w:lineRule="auto"/>
        <w:ind w:left="0" w:firstLine="709"/>
        <w:jc w:val="center"/>
      </w:pPr>
      <w:r>
        <w:rPr>
          <w:b/>
          <w:u w:val="single" w:color="000000"/>
        </w:rPr>
        <w:t>Вимога</w:t>
      </w:r>
      <w:r>
        <w:t>: скасувати рішення щодо визначення переможцем торгів ТОВ «ТД «</w:t>
      </w:r>
      <w:proofErr w:type="spellStart"/>
      <w:r>
        <w:t>Сока</w:t>
      </w:r>
      <w:proofErr w:type="spellEnd"/>
      <w:r>
        <w:t xml:space="preserve"> </w:t>
      </w:r>
      <w:r>
        <w:t xml:space="preserve">Україна». </w:t>
      </w:r>
    </w:p>
    <w:p w:rsidR="0081151E" w:rsidRDefault="0081151E">
      <w:pPr>
        <w:ind w:left="693" w:right="1973" w:hanging="708"/>
      </w:pPr>
      <w:r>
        <w:t xml:space="preserve">Призначити розгляд скарги за </w:t>
      </w:r>
      <w:r>
        <w:t>участю представників Скаржника.</w:t>
      </w:r>
    </w:p>
    <w:p w:rsidR="00B25379" w:rsidRDefault="0081151E" w:rsidP="0081151E">
      <w:pPr>
        <w:ind w:left="0" w:right="1973" w:firstLine="709"/>
      </w:pPr>
      <w:r>
        <w:rPr>
          <w:b/>
          <w:u w:val="single" w:color="000000"/>
        </w:rPr>
        <w:t>Встановлено з пояснень замовника:</w:t>
      </w:r>
      <w:r>
        <w:rPr>
          <w:b/>
        </w:rPr>
        <w:t xml:space="preserve"> </w:t>
      </w:r>
      <w:r>
        <w:t xml:space="preserve"> </w:t>
      </w:r>
    </w:p>
    <w:p w:rsidR="00B25379" w:rsidRDefault="0081151E">
      <w:pPr>
        <w:numPr>
          <w:ilvl w:val="0"/>
          <w:numId w:val="7"/>
        </w:numPr>
        <w:ind w:right="49"/>
      </w:pPr>
      <w:r>
        <w:t xml:space="preserve">у </w:t>
      </w:r>
      <w:proofErr w:type="spellStart"/>
      <w:r>
        <w:t>вимозі</w:t>
      </w:r>
      <w:proofErr w:type="spellEnd"/>
      <w:r>
        <w:t xml:space="preserve"> п. 1 Додатку 1 </w:t>
      </w:r>
      <w:r>
        <w:rPr>
          <w:i/>
        </w:rPr>
        <w:t xml:space="preserve">«перелік документів, що вимагається згідно з конкурсною документацією у складі пропозиції» - </w:t>
      </w:r>
      <w:r>
        <w:t>не передбачено, що аналогічні договори мають стосуватися різних контраг</w:t>
      </w:r>
      <w:r>
        <w:t>ентів. Так, ТОВ «ТД «</w:t>
      </w:r>
      <w:proofErr w:type="spellStart"/>
      <w:r>
        <w:t>Сокар</w:t>
      </w:r>
      <w:proofErr w:type="spellEnd"/>
      <w:r>
        <w:t xml:space="preserve"> Україна» надав довідку в довільній формі від 27.05.2021 №288 щодо виконання за 2018 рік трьох аналогічних договорів з Міністерством оборони України. Тому, листи-відгуки надано від одного контрагента щодо виконання двох договорів;</w:t>
      </w:r>
      <w:r>
        <w:t xml:space="preserve"> </w:t>
      </w:r>
    </w:p>
    <w:p w:rsidR="00B25379" w:rsidRDefault="0081151E">
      <w:pPr>
        <w:numPr>
          <w:ilvl w:val="0"/>
          <w:numId w:val="7"/>
        </w:numPr>
        <w:ind w:right="49"/>
      </w:pPr>
      <w:r>
        <w:t>вимогою п. 2 Додатку 1</w:t>
      </w:r>
      <w:r>
        <w:rPr>
          <w:i/>
        </w:rPr>
        <w:t xml:space="preserve"> </w:t>
      </w:r>
      <w:r>
        <w:t xml:space="preserve">конкурсної документації </w:t>
      </w:r>
      <w:r>
        <w:rPr>
          <w:i/>
        </w:rPr>
        <w:t xml:space="preserve">«перелік документів, що вимагається згідно з конкурсною документацією у складі пропозиції» </w:t>
      </w:r>
      <w:r>
        <w:t>передбачено надання учасниками</w:t>
      </w:r>
      <w:r>
        <w:rPr>
          <w:i/>
        </w:rPr>
        <w:t xml:space="preserve"> </w:t>
      </w:r>
      <w:r>
        <w:t xml:space="preserve">Паспорту </w:t>
      </w:r>
      <w:r>
        <w:t xml:space="preserve">(Сертифікату) якості Виробника та/або  Паспорту(Сертифікату) якості Постачальника, Сертифікат відповідності, Переклад Паспорту (Сертифікату) якості Виробника  якщо оригінал надрукований іноземною мовою. Конкурсною документацією не було передбачено надання </w:t>
      </w:r>
      <w:r>
        <w:t xml:space="preserve">діючих на момент проведення закупівлі документів з якості;  </w:t>
      </w:r>
    </w:p>
    <w:p w:rsidR="00B25379" w:rsidRDefault="0081151E">
      <w:pPr>
        <w:numPr>
          <w:ilvl w:val="0"/>
          <w:numId w:val="7"/>
        </w:numPr>
        <w:spacing w:after="31"/>
        <w:ind w:right="49"/>
      </w:pPr>
      <w:r>
        <w:t xml:space="preserve">ненадання </w:t>
      </w:r>
      <w:proofErr w:type="spellStart"/>
      <w:r>
        <w:t>конкурсно</w:t>
      </w:r>
      <w:proofErr w:type="spellEnd"/>
      <w:r>
        <w:t>-цінової пропозиції до початку аукціону є формальною помилкою та не може бути підставою для відхилення конкурсної пропозиції учасника; 4.</w:t>
      </w:r>
      <w:r>
        <w:rPr>
          <w:rFonts w:ascii="Arial" w:eastAsia="Arial" w:hAnsi="Arial" w:cs="Arial"/>
        </w:rPr>
        <w:t xml:space="preserve"> </w:t>
      </w:r>
      <w:r>
        <w:t>розрахунок ціни на авіаційне паливо зд</w:t>
      </w:r>
      <w:r>
        <w:t xml:space="preserve">ійснювалось за формулою:  </w:t>
      </w:r>
    </w:p>
    <w:p w:rsidR="00B25379" w:rsidRDefault="0081151E">
      <w:pPr>
        <w:spacing w:after="208"/>
        <w:ind w:left="718" w:right="49"/>
      </w:pPr>
      <w:r>
        <w:t>Ц = ((</w:t>
      </w:r>
      <w:proofErr w:type="spellStart"/>
      <w:r>
        <w:t>Platts</w:t>
      </w:r>
      <w:proofErr w:type="spellEnd"/>
      <w:r>
        <w:t xml:space="preserve"> x </w:t>
      </w:r>
      <w:proofErr w:type="spellStart"/>
      <w:r>
        <w:t>К</w:t>
      </w:r>
      <w:r>
        <w:rPr>
          <w:vertAlign w:val="subscript"/>
        </w:rPr>
        <w:t>долар</w:t>
      </w:r>
      <w:proofErr w:type="spellEnd"/>
      <w:r>
        <w:t xml:space="preserve">) + (А х </w:t>
      </w:r>
      <w:proofErr w:type="spellStart"/>
      <w:r>
        <w:t>К</w:t>
      </w:r>
      <w:r>
        <w:rPr>
          <w:vertAlign w:val="subscript"/>
        </w:rPr>
        <w:t>євро</w:t>
      </w:r>
      <w:proofErr w:type="spellEnd"/>
      <w:r>
        <w:t xml:space="preserve"> / Г</w:t>
      </w:r>
      <w:r>
        <w:rPr>
          <w:vertAlign w:val="subscript"/>
        </w:rPr>
        <w:t>К</w:t>
      </w:r>
      <w:r>
        <w:t>) + М)) х К</w:t>
      </w:r>
      <w:r>
        <w:rPr>
          <w:vertAlign w:val="subscript"/>
        </w:rPr>
        <w:t>ПДВ</w:t>
      </w:r>
      <w:r>
        <w:t xml:space="preserve">, де </w:t>
      </w:r>
    </w:p>
    <w:p w:rsidR="00B25379" w:rsidRDefault="0081151E">
      <w:pPr>
        <w:ind w:left="-5" w:right="49"/>
      </w:pPr>
      <w:proofErr w:type="spellStart"/>
      <w:r>
        <w:rPr>
          <w:b/>
        </w:rPr>
        <w:t>Platts</w:t>
      </w:r>
      <w:proofErr w:type="spellEnd"/>
      <w:r>
        <w:t xml:space="preserve"> </w:t>
      </w:r>
      <w:r>
        <w:rPr>
          <w:b/>
        </w:rPr>
        <w:t xml:space="preserve">- </w:t>
      </w:r>
      <w:r>
        <w:t>середнє арифметичне значення базисних котирувань за позицією «</w:t>
      </w:r>
      <w:proofErr w:type="spellStart"/>
      <w:r>
        <w:t>Jet</w:t>
      </w:r>
      <w:proofErr w:type="spellEnd"/>
      <w:r>
        <w:t>» під заголовком «CIF NWE/</w:t>
      </w:r>
      <w:proofErr w:type="spellStart"/>
      <w:r>
        <w:t>Basis</w:t>
      </w:r>
      <w:proofErr w:type="spellEnd"/>
      <w:r>
        <w:t xml:space="preserve"> ARA» та за позицією «</w:t>
      </w:r>
      <w:proofErr w:type="spellStart"/>
      <w:r>
        <w:t>Jet</w:t>
      </w:r>
      <w:proofErr w:type="spellEnd"/>
      <w:r>
        <w:t xml:space="preserve">» під заголовком «FOB </w:t>
      </w:r>
      <w:proofErr w:type="spellStart"/>
      <w:r>
        <w:t>Med</w:t>
      </w:r>
      <w:proofErr w:type="spellEnd"/>
      <w:r>
        <w:t xml:space="preserve"> (</w:t>
      </w:r>
      <w:proofErr w:type="spellStart"/>
      <w:r>
        <w:t>Italy</w:t>
      </w:r>
      <w:proofErr w:type="spellEnd"/>
      <w:r>
        <w:t>)», які</w:t>
      </w:r>
      <w:r>
        <w:t xml:space="preserve"> зазначаються в публікації «</w:t>
      </w:r>
      <w:proofErr w:type="spellStart"/>
      <w:r>
        <w:t>Platt’s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MarketScan</w:t>
      </w:r>
      <w:proofErr w:type="spellEnd"/>
      <w:r>
        <w:t xml:space="preserve">», округлене до сотих часток, по 10 відомих котирувальних днях.  </w:t>
      </w:r>
    </w:p>
    <w:p w:rsidR="00B25379" w:rsidRDefault="0081151E">
      <w:pPr>
        <w:ind w:left="-15" w:right="49" w:firstLine="708"/>
      </w:pPr>
      <w:r>
        <w:t xml:space="preserve">У конкурсній документації не вказано за які саме 10 котирувальних днів повинен бути наданий </w:t>
      </w:r>
      <w:proofErr w:type="spellStart"/>
      <w:r>
        <w:rPr>
          <w:b/>
        </w:rPr>
        <w:t>Platts</w:t>
      </w:r>
      <w:proofErr w:type="spellEnd"/>
      <w:r>
        <w:rPr>
          <w:b/>
        </w:rPr>
        <w:t xml:space="preserve"> </w:t>
      </w:r>
      <w:r>
        <w:t>після закінчення аукціону. Крім того</w:t>
      </w:r>
      <w:r>
        <w:t>, після кожного постачання буде здійснено перерахунок ціни згідно умов тендерної документації і саме дана ціна буде прийматись до уваги; 5.</w:t>
      </w:r>
      <w:r>
        <w:rPr>
          <w:rFonts w:ascii="Arial" w:eastAsia="Arial" w:hAnsi="Arial" w:cs="Arial"/>
        </w:rPr>
        <w:t xml:space="preserve"> </w:t>
      </w:r>
      <w:r>
        <w:t xml:space="preserve">термін дії конкурсної пропозиції згідно конкурсної документації має складати 90 </w:t>
      </w:r>
      <w:proofErr w:type="spellStart"/>
      <w:r>
        <w:t>к.д</w:t>
      </w:r>
      <w:proofErr w:type="spellEnd"/>
      <w:r>
        <w:t>. ТОВ «ТД «</w:t>
      </w:r>
      <w:proofErr w:type="spellStart"/>
      <w:r>
        <w:t>Сокар</w:t>
      </w:r>
      <w:proofErr w:type="spellEnd"/>
      <w:r>
        <w:t xml:space="preserve"> Україна» не вико</w:t>
      </w:r>
      <w:r>
        <w:t xml:space="preserve">нав вимогу конкурсної документації. </w:t>
      </w:r>
    </w:p>
    <w:p w:rsidR="00B25379" w:rsidRDefault="0081151E">
      <w:pPr>
        <w:spacing w:after="59" w:line="259" w:lineRule="auto"/>
        <w:ind w:left="718"/>
        <w:jc w:val="left"/>
      </w:pPr>
      <w:r>
        <w:rPr>
          <w:b/>
          <w:u w:val="single" w:color="000000"/>
        </w:rPr>
        <w:t>Встановлено з пояснень управління моніторингу та вдосконалення закупівель:</w:t>
      </w:r>
      <w:r>
        <w:rPr>
          <w:b/>
        </w:rPr>
        <w:t xml:space="preserve">  </w:t>
      </w:r>
    </w:p>
    <w:p w:rsidR="00B25379" w:rsidRDefault="0081151E">
      <w:pPr>
        <w:numPr>
          <w:ilvl w:val="0"/>
          <w:numId w:val="8"/>
        </w:numPr>
        <w:ind w:right="49"/>
      </w:pPr>
      <w:r>
        <w:t xml:space="preserve">надані листи-відгуки від Міністерства оборони України стосуються лише одного з договорів; </w:t>
      </w:r>
    </w:p>
    <w:p w:rsidR="00B25379" w:rsidRDefault="0081151E">
      <w:pPr>
        <w:numPr>
          <w:ilvl w:val="0"/>
          <w:numId w:val="8"/>
        </w:numPr>
        <w:ind w:right="49"/>
      </w:pPr>
      <w:r>
        <w:t>замовником умовами конкурсної документації не перед</w:t>
      </w:r>
      <w:r>
        <w:t xml:space="preserve">бачено надання учасниками торгів діючих на момент проведення конкурсу документів з якості. Таким чином. Учасники могли надати зразки документів на раніше поставлені партії;  </w:t>
      </w:r>
    </w:p>
    <w:p w:rsidR="00B25379" w:rsidRDefault="0081151E">
      <w:pPr>
        <w:numPr>
          <w:ilvl w:val="0"/>
          <w:numId w:val="8"/>
        </w:numPr>
        <w:ind w:right="49"/>
      </w:pPr>
      <w:r>
        <w:t xml:space="preserve">надання </w:t>
      </w:r>
      <w:proofErr w:type="spellStart"/>
      <w:r>
        <w:t>конкурсно</w:t>
      </w:r>
      <w:proofErr w:type="spellEnd"/>
      <w:r>
        <w:t>-цінової пропозиції з початковою ставкою продукції на даному ета</w:t>
      </w:r>
      <w:r>
        <w:t xml:space="preserve">пі є недоцільно. </w:t>
      </w:r>
    </w:p>
    <w:p w:rsidR="00B25379" w:rsidRDefault="0081151E">
      <w:pPr>
        <w:ind w:left="-5" w:right="49"/>
      </w:pPr>
      <w:r>
        <w:t xml:space="preserve"> Слід зауважити, що умовами конкурсної документації визначено умови оплати визначено як 100% </w:t>
      </w:r>
      <w:proofErr w:type="spellStart"/>
      <w:r>
        <w:t>післяоплата</w:t>
      </w:r>
      <w:proofErr w:type="spellEnd"/>
      <w:r>
        <w:t xml:space="preserve">. </w:t>
      </w:r>
    </w:p>
    <w:p w:rsidR="00B25379" w:rsidRDefault="0081151E">
      <w:pPr>
        <w:ind w:left="-15" w:right="49" w:firstLine="708"/>
      </w:pPr>
      <w:r>
        <w:rPr>
          <w:b/>
          <w:u w:val="single" w:color="000000"/>
        </w:rPr>
        <w:t>Запропоновано</w:t>
      </w:r>
      <w:r>
        <w:t xml:space="preserve">: враховуючи наявну інформацію, </w:t>
      </w:r>
      <w:r>
        <w:rPr>
          <w:b/>
        </w:rPr>
        <w:t xml:space="preserve">задовольнити частково </w:t>
      </w:r>
      <w:r>
        <w:t>скаргу              ТОВ «</w:t>
      </w:r>
      <w:proofErr w:type="spellStart"/>
      <w:r>
        <w:t>Юкойл</w:t>
      </w:r>
      <w:proofErr w:type="spellEnd"/>
      <w:r>
        <w:t xml:space="preserve">». </w:t>
      </w:r>
    </w:p>
    <w:p w:rsidR="00B25379" w:rsidRDefault="0081151E">
      <w:pPr>
        <w:ind w:left="-5" w:right="49"/>
      </w:pPr>
      <w:r>
        <w:lastRenderedPageBreak/>
        <w:t>Секретарю Колегії з розгляду с</w:t>
      </w:r>
      <w:r>
        <w:t xml:space="preserve">карг Концерну підготувати та направити до Замовника та Скаржника результати розгляду скарги.  </w:t>
      </w:r>
    </w:p>
    <w:p w:rsidR="00B25379" w:rsidRDefault="0081151E">
      <w:pPr>
        <w:ind w:left="-5" w:right="49"/>
      </w:pPr>
      <w:r>
        <w:rPr>
          <w:i/>
          <w:u w:val="single" w:color="000000"/>
        </w:rPr>
        <w:t>Замовнику</w:t>
      </w:r>
      <w:r>
        <w:rPr>
          <w:u w:val="single" w:color="000000"/>
        </w:rPr>
        <w:t>:</w:t>
      </w:r>
      <w:r>
        <w:t xml:space="preserve"> скаргу задоволено частково. При розгляді скарги встановлено, що ТОВ «ТД «</w:t>
      </w:r>
      <w:proofErr w:type="spellStart"/>
      <w:r>
        <w:t>Сокар</w:t>
      </w:r>
      <w:proofErr w:type="spellEnd"/>
      <w:r>
        <w:t>» не виконав всіх вимог конкурсної документації, зокрема: лист-відгук ві</w:t>
      </w:r>
      <w:r>
        <w:t xml:space="preserve">д 18.07.2019 №286/6/4747 не стосується аналогічних договорів, що зазначено у довідці; у </w:t>
      </w:r>
      <w:proofErr w:type="spellStart"/>
      <w:r>
        <w:t>конкурсно</w:t>
      </w:r>
      <w:proofErr w:type="spellEnd"/>
      <w:r>
        <w:t xml:space="preserve">-ціновій пропозиції строк дії конкурсної пропозиції не відповідає </w:t>
      </w:r>
      <w:proofErr w:type="spellStart"/>
      <w:r>
        <w:t>вимозі</w:t>
      </w:r>
      <w:proofErr w:type="spellEnd"/>
      <w:r>
        <w:t xml:space="preserve"> конкурсної документації; </w:t>
      </w:r>
    </w:p>
    <w:p w:rsidR="00B25379" w:rsidRDefault="0081151E">
      <w:pPr>
        <w:spacing w:after="11" w:line="303" w:lineRule="auto"/>
        <w:ind w:left="-5" w:right="47"/>
      </w:pPr>
      <w:r>
        <w:t xml:space="preserve"> </w:t>
      </w:r>
      <w:r>
        <w:t>Враховуючи викладене, на виконання рішення Колегії з розгляду скарг необхідно скасувати рішення щодо визначення переможцем торгів ТОВ «ТД «</w:t>
      </w:r>
      <w:proofErr w:type="spellStart"/>
      <w:r>
        <w:t>Сокар</w:t>
      </w:r>
      <w:proofErr w:type="spellEnd"/>
      <w:r>
        <w:t xml:space="preserve"> Україна» та відповідно до п. 9 конкурсної документації </w:t>
      </w:r>
      <w:r>
        <w:rPr>
          <w:i/>
        </w:rPr>
        <w:t>«у разі виявлення недоліків у документах учасника або ві</w:t>
      </w:r>
      <w:r>
        <w:rPr>
          <w:i/>
        </w:rPr>
        <w:t xml:space="preserve">дсутності </w:t>
      </w:r>
      <w:proofErr w:type="spellStart"/>
      <w:r>
        <w:rPr>
          <w:i/>
        </w:rPr>
        <w:t>будьякого</w:t>
      </w:r>
      <w:proofErr w:type="spellEnd"/>
      <w:r>
        <w:rPr>
          <w:i/>
        </w:rPr>
        <w:t xml:space="preserve"> із документів, Замовник у будь-який доступний спосіб направляє учаснику вимогу про усунення встановлених </w:t>
      </w:r>
      <w:proofErr w:type="spellStart"/>
      <w:r>
        <w:rPr>
          <w:i/>
        </w:rPr>
        <w:t>невідповідностей</w:t>
      </w:r>
      <w:proofErr w:type="spellEnd"/>
      <w:r>
        <w:rPr>
          <w:i/>
        </w:rPr>
        <w:t>. Учасник протягом 24 годин після надходження вимоги до нього, має можливість усунути усі встановлені невідповіднос</w:t>
      </w:r>
      <w:r>
        <w:rPr>
          <w:i/>
        </w:rPr>
        <w:t>ті Конкурсній документації шляхом завантаження їх у Систему»</w:t>
      </w:r>
      <w:r>
        <w:t xml:space="preserve"> направити учаснику вимогу виправити вище вказані помилки.  У разі невиконання вимоги перейти до розгляду конкурсної пропозиції наступного учасника. </w:t>
      </w:r>
    </w:p>
    <w:p w:rsidR="00B25379" w:rsidRDefault="0081151E">
      <w:pPr>
        <w:ind w:left="-5" w:right="49"/>
      </w:pPr>
      <w:r>
        <w:t xml:space="preserve"> Інформацію щодо виконання рішення Колегії з р</w:t>
      </w:r>
      <w:r>
        <w:t>озгляду скарг направити до «</w:t>
      </w:r>
      <w:r>
        <w:rPr>
          <w:b/>
        </w:rPr>
        <w:t>30» червня 2021</w:t>
      </w:r>
      <w:r>
        <w:t xml:space="preserve"> на електронну адресу </w:t>
      </w:r>
      <w:r>
        <w:rPr>
          <w:color w:val="0000FF"/>
          <w:u w:val="single" w:color="0000FF"/>
        </w:rPr>
        <w:t>control@ukroboronprom.com</w:t>
      </w:r>
      <w:r>
        <w:t xml:space="preserve">.  </w:t>
      </w:r>
    </w:p>
    <w:p w:rsidR="00B25379" w:rsidRDefault="0081151E">
      <w:pPr>
        <w:spacing w:after="60" w:line="259" w:lineRule="auto"/>
        <w:ind w:left="0" w:firstLine="0"/>
        <w:jc w:val="left"/>
      </w:pPr>
      <w:r>
        <w:rPr>
          <w:b/>
        </w:rPr>
        <w:t xml:space="preserve"> </w:t>
      </w:r>
    </w:p>
    <w:p w:rsidR="00B25379" w:rsidRDefault="0081151E">
      <w:pPr>
        <w:ind w:left="-5" w:right="49"/>
      </w:pPr>
      <w:r>
        <w:rPr>
          <w:i/>
          <w:u w:val="single" w:color="000000"/>
        </w:rPr>
        <w:t>Скаржнику:</w:t>
      </w:r>
      <w:r>
        <w:t xml:space="preserve"> </w:t>
      </w:r>
      <w:r>
        <w:t>скаргу задоволено частково. При розгляді скарги встановлено, що ТОВ «ТД «</w:t>
      </w:r>
      <w:proofErr w:type="spellStart"/>
      <w:r>
        <w:t>Сокар</w:t>
      </w:r>
      <w:proofErr w:type="spellEnd"/>
      <w:r>
        <w:t xml:space="preserve"> Україна» не виконав всіх вимог конкурсної документації. Таким чином, Замовником буде скасовано рішення щодо визначення переможцем торгів ТОВ «ТД «</w:t>
      </w:r>
      <w:proofErr w:type="spellStart"/>
      <w:r>
        <w:t>Сокар</w:t>
      </w:r>
      <w:proofErr w:type="spellEnd"/>
      <w:r>
        <w:t xml:space="preserve"> Україна» та відповідно до</w:t>
      </w:r>
      <w:r>
        <w:t xml:space="preserve"> п. 9 конкурсної документації </w:t>
      </w:r>
      <w:r>
        <w:rPr>
          <w:i/>
        </w:rPr>
        <w:t xml:space="preserve">«у разі виявлення недоліків у документах учасника або відсутності </w:t>
      </w:r>
      <w:proofErr w:type="spellStart"/>
      <w:r>
        <w:rPr>
          <w:i/>
        </w:rPr>
        <w:t>будьякого</w:t>
      </w:r>
      <w:proofErr w:type="spellEnd"/>
      <w:r>
        <w:rPr>
          <w:i/>
        </w:rPr>
        <w:t xml:space="preserve"> із документів, Замовник у будь-який доступний спосіб направляє учаснику вимогу про усунення встановлених </w:t>
      </w:r>
      <w:proofErr w:type="spellStart"/>
      <w:r>
        <w:rPr>
          <w:i/>
        </w:rPr>
        <w:t>невідповідностей</w:t>
      </w:r>
      <w:proofErr w:type="spellEnd"/>
      <w:r>
        <w:rPr>
          <w:i/>
        </w:rPr>
        <w:t>. Учасник протягом 24 годин п</w:t>
      </w:r>
      <w:r>
        <w:rPr>
          <w:i/>
        </w:rPr>
        <w:t>ісля надходження вимоги до нього, має можливість усунути усі встановлені невідповідності Конкурсній документації шляхом завантаження їх у Систему»</w:t>
      </w:r>
      <w:r>
        <w:t xml:space="preserve"> </w:t>
      </w:r>
      <w:proofErr w:type="spellStart"/>
      <w:r>
        <w:t>направлен</w:t>
      </w:r>
      <w:proofErr w:type="spellEnd"/>
      <w:r>
        <w:t xml:space="preserve"> учаснику вимогу виправити вище вказані помилки.  У разі невиконання вимоги Замовник перейде до розг</w:t>
      </w:r>
      <w:r>
        <w:t xml:space="preserve">ляду конкурсної пропозиції наступного учасника. </w:t>
      </w:r>
    </w:p>
    <w:p w:rsidR="00B25379" w:rsidRDefault="0081151E" w:rsidP="0081151E">
      <w:pPr>
        <w:spacing w:after="1" w:line="278" w:lineRule="auto"/>
        <w:ind w:left="-5" w:firstLine="713"/>
        <w:jc w:val="left"/>
      </w:pPr>
      <w:bookmarkStart w:id="0" w:name="_GoBack"/>
      <w:bookmarkEnd w:id="0"/>
      <w:r>
        <w:rPr>
          <w:b/>
          <w:i/>
        </w:rPr>
        <w:t xml:space="preserve">Щодо даного питання, винесеного на голосування, члени Колегії, проголосували одноголосно «ЗА». </w:t>
      </w:r>
    </w:p>
    <w:p w:rsidR="0081151E" w:rsidRDefault="0081151E" w:rsidP="0081151E">
      <w:pPr>
        <w:spacing w:after="429" w:line="259" w:lineRule="auto"/>
        <w:ind w:left="708" w:firstLine="0"/>
        <w:jc w:val="left"/>
      </w:pPr>
      <w:r>
        <w:rPr>
          <w:b/>
        </w:rPr>
        <w:t xml:space="preserve"> </w:t>
      </w:r>
    </w:p>
    <w:p w:rsidR="0081151E" w:rsidRDefault="0081151E" w:rsidP="0081151E">
      <w:pPr>
        <w:spacing w:after="381" w:line="259" w:lineRule="auto"/>
        <w:ind w:left="3847" w:firstLine="0"/>
        <w:jc w:val="center"/>
      </w:pPr>
      <w:r>
        <w:rPr>
          <w:sz w:val="12"/>
        </w:rPr>
        <w:t>ДК УКРОБОРОНПРОМ</w:t>
      </w:r>
    </w:p>
    <w:p w:rsidR="0081151E" w:rsidRDefault="0081151E" w:rsidP="0081151E">
      <w:pPr>
        <w:pStyle w:val="1"/>
      </w:pPr>
      <w:r>
        <w:t></w:t>
      </w:r>
      <w:r>
        <w:t></w:t>
      </w:r>
      <w:r>
        <w:t></w:t>
      </w:r>
      <w:r>
        <w:t></w:t>
      </w:r>
      <w:r>
        <w:t></w:t>
      </w:r>
      <w:r>
        <w:t></w:t>
      </w:r>
      <w:r>
        <w:t></w:t>
      </w:r>
      <w:r>
        <w:t></w:t>
      </w:r>
      <w:r>
        <w:t></w:t>
      </w:r>
      <w:r>
        <w:t></w:t>
      </w:r>
    </w:p>
    <w:p w:rsidR="0081151E" w:rsidRDefault="0081151E" w:rsidP="0081151E">
      <w:pPr>
        <w:spacing w:after="0" w:line="259" w:lineRule="auto"/>
        <w:ind w:left="3847" w:firstLine="0"/>
        <w:jc w:val="center"/>
      </w:pPr>
      <w:r>
        <w:rPr>
          <w:sz w:val="16"/>
        </w:rPr>
        <w:t>3087105</w:t>
      </w:r>
    </w:p>
    <w:p w:rsidR="00B25379" w:rsidRDefault="00B25379">
      <w:pPr>
        <w:spacing w:after="200" w:line="259" w:lineRule="auto"/>
        <w:ind w:left="0" w:firstLine="0"/>
        <w:jc w:val="left"/>
      </w:pPr>
    </w:p>
    <w:sectPr w:rsidR="00B25379">
      <w:footerReference w:type="even" r:id="rId8"/>
      <w:footerReference w:type="default" r:id="rId9"/>
      <w:footerReference w:type="first" r:id="rId10"/>
      <w:pgSz w:w="11906" w:h="16838"/>
      <w:pgMar w:top="1134" w:right="786" w:bottom="168" w:left="1702" w:header="708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1151E">
      <w:pPr>
        <w:spacing w:after="0" w:line="240" w:lineRule="auto"/>
      </w:pPr>
      <w:r>
        <w:separator/>
      </w:r>
    </w:p>
  </w:endnote>
  <w:endnote w:type="continuationSeparator" w:id="0">
    <w:p w:rsidR="00000000" w:rsidRDefault="0081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de 128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379" w:rsidRDefault="0081151E">
    <w:pPr>
      <w:spacing w:after="0" w:line="259" w:lineRule="auto"/>
      <w:ind w:left="3320" w:firstLine="0"/>
      <w:jc w:val="left"/>
    </w:pPr>
    <w:r>
      <w:t>№ 24 від 24.06.2021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379" w:rsidRDefault="0081151E">
    <w:pPr>
      <w:spacing w:after="0" w:line="259" w:lineRule="auto"/>
      <w:ind w:left="3320" w:firstLine="0"/>
      <w:jc w:val="left"/>
    </w:pPr>
    <w:r>
      <w:t>№ 24 від 24.06.2021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379" w:rsidRDefault="0081151E">
    <w:pPr>
      <w:spacing w:after="0" w:line="259" w:lineRule="auto"/>
      <w:ind w:left="3320" w:firstLine="0"/>
      <w:jc w:val="left"/>
    </w:pPr>
    <w:r>
      <w:t>№ 24 від 24.06.2021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1151E">
      <w:pPr>
        <w:spacing w:after="0" w:line="240" w:lineRule="auto"/>
      </w:pPr>
      <w:r>
        <w:separator/>
      </w:r>
    </w:p>
  </w:footnote>
  <w:footnote w:type="continuationSeparator" w:id="0">
    <w:p w:rsidR="00000000" w:rsidRDefault="00811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40FC"/>
    <w:multiLevelType w:val="hybridMultilevel"/>
    <w:tmpl w:val="81620C54"/>
    <w:lvl w:ilvl="0" w:tplc="72FCC63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E6DC3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5C3040">
      <w:start w:val="1"/>
      <w:numFmt w:val="bullet"/>
      <w:lvlText w:val="▪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64495A">
      <w:start w:val="1"/>
      <w:numFmt w:val="bullet"/>
      <w:lvlText w:val="•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DEF342">
      <w:start w:val="1"/>
      <w:numFmt w:val="bullet"/>
      <w:lvlText w:val="o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801398">
      <w:start w:val="1"/>
      <w:numFmt w:val="bullet"/>
      <w:lvlText w:val="▪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106BBC">
      <w:start w:val="1"/>
      <w:numFmt w:val="bullet"/>
      <w:lvlText w:val="•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7AD89C">
      <w:start w:val="1"/>
      <w:numFmt w:val="bullet"/>
      <w:lvlText w:val="o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541D72">
      <w:start w:val="1"/>
      <w:numFmt w:val="bullet"/>
      <w:lvlText w:val="▪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F567E1"/>
    <w:multiLevelType w:val="hybridMultilevel"/>
    <w:tmpl w:val="C7324EF0"/>
    <w:lvl w:ilvl="0" w:tplc="A2E253F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1461F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8823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86A7B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F06F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DEF5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6CF2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62B2E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F0D7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B135F2"/>
    <w:multiLevelType w:val="hybridMultilevel"/>
    <w:tmpl w:val="AC68C528"/>
    <w:lvl w:ilvl="0" w:tplc="2D2E9FD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C27B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DACA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06BC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AAF6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7A45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E2F4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7C8F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B256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840291"/>
    <w:multiLevelType w:val="hybridMultilevel"/>
    <w:tmpl w:val="5944184E"/>
    <w:lvl w:ilvl="0" w:tplc="B4CEF8A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B4D20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6EB4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76FF7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52F73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CA9D1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CC01D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7E64D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C602C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CC7CEB"/>
    <w:multiLevelType w:val="hybridMultilevel"/>
    <w:tmpl w:val="539ACB16"/>
    <w:lvl w:ilvl="0" w:tplc="921A812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9223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9098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5617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F445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6AB4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5895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08DF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96DA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56215F"/>
    <w:multiLevelType w:val="hybridMultilevel"/>
    <w:tmpl w:val="E39217D4"/>
    <w:lvl w:ilvl="0" w:tplc="96E6926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BC7A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643A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86DA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F86D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7029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20ED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3E0F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A87A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785DB0"/>
    <w:multiLevelType w:val="hybridMultilevel"/>
    <w:tmpl w:val="F2321584"/>
    <w:lvl w:ilvl="0" w:tplc="C916CFF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9697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7261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220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C452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C6C5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ECB4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DCCB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406F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FB621D"/>
    <w:multiLevelType w:val="hybridMultilevel"/>
    <w:tmpl w:val="7C7C068C"/>
    <w:lvl w:ilvl="0" w:tplc="75E423C8">
      <w:start w:val="1"/>
      <w:numFmt w:val="decimal"/>
      <w:lvlText w:val="%1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D4B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66FD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CE82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E08F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CCCA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320A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BAC6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AAA6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379"/>
    <w:rsid w:val="0081151E"/>
    <w:rsid w:val="00B2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26733"/>
  <w15:docId w15:val="{FDA234B6-0B57-4AC3-9D6F-44CC9788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304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847"/>
      <w:jc w:val="center"/>
      <w:outlineLvl w:val="0"/>
    </w:pPr>
    <w:rPr>
      <w:rFonts w:ascii="Code 128" w:eastAsia="Code 128" w:hAnsi="Code 128" w:cs="Code 128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ode 128" w:eastAsia="Code 128" w:hAnsi="Code 128" w:cs="Code 128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4454</Words>
  <Characters>2540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Цюпко Інна Володимирівна</dc:creator>
  <cp:keywords/>
  <cp:lastModifiedBy>Цюпко Інна Володимирівна</cp:lastModifiedBy>
  <cp:revision>2</cp:revision>
  <dcterms:created xsi:type="dcterms:W3CDTF">2021-06-25T07:38:00Z</dcterms:created>
  <dcterms:modified xsi:type="dcterms:W3CDTF">2021-06-25T07:38:00Z</dcterms:modified>
</cp:coreProperties>
</file>