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6D" w:rsidRDefault="00FB276D">
      <w:pPr>
        <w:spacing w:after="62" w:line="259" w:lineRule="auto"/>
        <w:ind w:left="10" w:right="54"/>
        <w:jc w:val="center"/>
        <w:rPr>
          <w:b/>
        </w:rPr>
      </w:pPr>
      <w:r>
        <w:rPr>
          <w:b/>
        </w:rPr>
        <w:t xml:space="preserve">ВИТЯГ </w:t>
      </w:r>
    </w:p>
    <w:p w:rsidR="003C02C3" w:rsidRDefault="00FB276D" w:rsidP="00FB276D">
      <w:pPr>
        <w:spacing w:after="62" w:line="259" w:lineRule="auto"/>
        <w:ind w:left="10" w:right="54"/>
        <w:jc w:val="center"/>
      </w:pPr>
      <w:r>
        <w:rPr>
          <w:b/>
        </w:rPr>
        <w:t xml:space="preserve">з </w:t>
      </w:r>
      <w:r>
        <w:rPr>
          <w:b/>
        </w:rPr>
        <w:t>Протоколу</w:t>
      </w:r>
      <w:r>
        <w:rPr>
          <w:b/>
        </w:rPr>
        <w:t xml:space="preserve"> № 26 </w:t>
      </w:r>
      <w:r>
        <w:rPr>
          <w:b/>
        </w:rPr>
        <w:t xml:space="preserve">засідання Колегії з розгляду скарг у сфері закупівель підприємств </w:t>
      </w:r>
    </w:p>
    <w:p w:rsidR="003C02C3" w:rsidRDefault="00FB276D">
      <w:pPr>
        <w:spacing w:after="14" w:line="259" w:lineRule="auto"/>
        <w:ind w:left="10" w:right="55"/>
        <w:jc w:val="center"/>
      </w:pPr>
      <w:r>
        <w:rPr>
          <w:b/>
        </w:rPr>
        <w:t>Державного концерну «Укроборонпром»</w:t>
      </w:r>
      <w:r>
        <w:rPr>
          <w:b/>
          <w:i/>
        </w:rPr>
        <w:t xml:space="preserve"> </w:t>
      </w:r>
    </w:p>
    <w:p w:rsidR="003C02C3" w:rsidRDefault="00FB276D">
      <w:pPr>
        <w:spacing w:after="37" w:line="259" w:lineRule="auto"/>
        <w:ind w:left="1" w:firstLine="0"/>
        <w:jc w:val="center"/>
      </w:pPr>
      <w:r>
        <w:t xml:space="preserve"> </w:t>
      </w:r>
    </w:p>
    <w:p w:rsidR="003C02C3" w:rsidRDefault="00FB276D">
      <w:pPr>
        <w:tabs>
          <w:tab w:val="center" w:pos="1423"/>
          <w:tab w:val="center" w:pos="2132"/>
          <w:tab w:val="center" w:pos="2840"/>
          <w:tab w:val="center" w:pos="3548"/>
          <w:tab w:val="center" w:pos="4256"/>
          <w:tab w:val="center" w:pos="4964"/>
          <w:tab w:val="center" w:pos="5672"/>
          <w:tab w:val="center" w:pos="6380"/>
          <w:tab w:val="center" w:pos="7977"/>
        </w:tabs>
        <w:ind w:left="-8" w:firstLine="0"/>
        <w:jc w:val="left"/>
      </w:pPr>
      <w:r>
        <w:t xml:space="preserve">м. Київ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«09» липня 2021 р. </w:t>
      </w:r>
    </w:p>
    <w:p w:rsidR="003C02C3" w:rsidRDefault="00FB276D">
      <w:pPr>
        <w:spacing w:after="58" w:line="259" w:lineRule="auto"/>
        <w:ind w:left="7" w:firstLine="0"/>
        <w:jc w:val="left"/>
      </w:pPr>
      <w:r>
        <w:rPr>
          <w:i/>
        </w:rPr>
        <w:t xml:space="preserve"> </w:t>
      </w:r>
    </w:p>
    <w:p w:rsidR="003C02C3" w:rsidRDefault="003C02C3">
      <w:pPr>
        <w:spacing w:after="60" w:line="259" w:lineRule="auto"/>
        <w:ind w:left="7" w:firstLine="0"/>
        <w:jc w:val="left"/>
      </w:pPr>
    </w:p>
    <w:p w:rsidR="003C02C3" w:rsidRDefault="00FB276D">
      <w:pPr>
        <w:spacing w:after="59" w:line="259" w:lineRule="auto"/>
        <w:ind w:left="2"/>
        <w:jc w:val="left"/>
      </w:pPr>
      <w:r>
        <w:rPr>
          <w:b/>
          <w:u w:val="single" w:color="000000"/>
        </w:rPr>
        <w:t>Порядок денний:</w:t>
      </w:r>
      <w:r>
        <w:rPr>
          <w:b/>
        </w:rPr>
        <w:t xml:space="preserve"> </w:t>
      </w:r>
    </w:p>
    <w:p w:rsidR="00FB276D" w:rsidRDefault="00FB276D">
      <w:pPr>
        <w:numPr>
          <w:ilvl w:val="0"/>
          <w:numId w:val="2"/>
        </w:numPr>
        <w:ind w:right="52"/>
      </w:pPr>
    </w:p>
    <w:p w:rsidR="00FB276D" w:rsidRDefault="00FB276D">
      <w:pPr>
        <w:numPr>
          <w:ilvl w:val="0"/>
          <w:numId w:val="2"/>
        </w:numPr>
        <w:ind w:right="52"/>
      </w:pPr>
    </w:p>
    <w:p w:rsidR="003C02C3" w:rsidRDefault="00FB276D">
      <w:pPr>
        <w:numPr>
          <w:ilvl w:val="0"/>
          <w:numId w:val="2"/>
        </w:numPr>
        <w:ind w:right="52"/>
      </w:pPr>
      <w:r>
        <w:t>Розгляд скарги ПрАТ «ДІТЦ «Контакт» щодо неправомірного визначення переможця конкурсу ДП «Антон</w:t>
      </w:r>
      <w:r>
        <w:t xml:space="preserve">ов» у закупівлі </w:t>
      </w:r>
      <w:proofErr w:type="spellStart"/>
      <w:r>
        <w:t>різьбонакатного</w:t>
      </w:r>
      <w:proofErr w:type="spellEnd"/>
      <w:r>
        <w:t xml:space="preserve"> верстата з ЧПК для накаткам MR-різьб (UA2021-04-05-004167-c), очікуваною вартістю 305 000,00 EUR.</w:t>
      </w:r>
      <w:r>
        <w:rPr>
          <w:b/>
        </w:rPr>
        <w:t xml:space="preserve"> </w:t>
      </w:r>
    </w:p>
    <w:p w:rsidR="003C02C3" w:rsidRDefault="003C02C3">
      <w:pPr>
        <w:spacing w:after="51" w:line="259" w:lineRule="auto"/>
        <w:ind w:left="7" w:firstLine="0"/>
        <w:jc w:val="left"/>
      </w:pPr>
    </w:p>
    <w:p w:rsidR="003C02C3" w:rsidRDefault="00FB276D">
      <w:pPr>
        <w:spacing w:after="0" w:line="259" w:lineRule="auto"/>
        <w:ind w:left="2"/>
        <w:jc w:val="left"/>
      </w:pPr>
      <w:r>
        <w:rPr>
          <w:b/>
          <w:u w:val="single" w:color="000000"/>
        </w:rPr>
        <w:t>Слухали:</w:t>
      </w:r>
      <w:r>
        <w:rPr>
          <w:b/>
        </w:rPr>
        <w:t xml:space="preserve"> </w:t>
      </w:r>
    </w:p>
    <w:p w:rsidR="003C02C3" w:rsidRDefault="00FB276D">
      <w:pPr>
        <w:spacing w:after="60" w:line="259" w:lineRule="auto"/>
        <w:ind w:left="7" w:firstLine="0"/>
        <w:jc w:val="left"/>
      </w:pPr>
      <w:r>
        <w:rPr>
          <w:b/>
        </w:rPr>
        <w:t xml:space="preserve"> </w:t>
      </w:r>
    </w:p>
    <w:p w:rsidR="003C02C3" w:rsidRDefault="00FB276D">
      <w:pPr>
        <w:spacing w:after="15" w:line="259" w:lineRule="auto"/>
        <w:ind w:left="2"/>
        <w:jc w:val="left"/>
      </w:pPr>
      <w:r>
        <w:rPr>
          <w:b/>
          <w:i/>
          <w:u w:val="single" w:color="000000"/>
        </w:rPr>
        <w:t>Щодо третього питання порядку денного:</w:t>
      </w:r>
      <w:r>
        <w:rPr>
          <w:b/>
          <w:i/>
        </w:rPr>
        <w:t xml:space="preserve"> </w:t>
      </w:r>
    </w:p>
    <w:p w:rsidR="003C02C3" w:rsidRDefault="00FB276D">
      <w:pPr>
        <w:spacing w:after="57" w:line="259" w:lineRule="auto"/>
        <w:ind w:left="7" w:firstLine="0"/>
        <w:jc w:val="left"/>
      </w:pPr>
      <w:r>
        <w:rPr>
          <w:b/>
          <w:i/>
        </w:rPr>
        <w:t xml:space="preserve"> </w:t>
      </w:r>
    </w:p>
    <w:p w:rsidR="003C02C3" w:rsidRDefault="00FB276D" w:rsidP="00FB276D">
      <w:pPr>
        <w:spacing w:line="276" w:lineRule="auto"/>
        <w:ind w:left="-8" w:right="52" w:firstLine="708"/>
      </w:pPr>
      <w:r>
        <w:t>Секретар</w:t>
      </w:r>
      <w:r>
        <w:rPr>
          <w:b/>
        </w:rPr>
        <w:t xml:space="preserve"> </w:t>
      </w:r>
      <w:r>
        <w:t xml:space="preserve">Колегії повідомила, що ДП «Антонов» (далі – Замовник) проводило конкурс на закупівлю </w:t>
      </w:r>
      <w:proofErr w:type="spellStart"/>
      <w:r>
        <w:t>різьбонака</w:t>
      </w:r>
      <w:r>
        <w:t>тного</w:t>
      </w:r>
      <w:proofErr w:type="spellEnd"/>
      <w:r>
        <w:t xml:space="preserve"> верстата з ЧПК для накаткам MR-різьб (UA-2021-04-05-004167-c). Згідно з інформацією, розміщеною у системі «</w:t>
      </w:r>
      <w:proofErr w:type="spellStart"/>
      <w:r>
        <w:t>Prozorro</w:t>
      </w:r>
      <w:proofErr w:type="spellEnd"/>
      <w:r>
        <w:t xml:space="preserve">», свої пропозиції для участі у закупівлі подали наступні учасники: </w:t>
      </w:r>
    </w:p>
    <w:p w:rsidR="003C02C3" w:rsidRDefault="00FB276D">
      <w:pPr>
        <w:spacing w:after="156" w:line="259" w:lineRule="auto"/>
        <w:ind w:left="0" w:right="2050" w:firstLine="0"/>
        <w:jc w:val="center"/>
      </w:pPr>
      <w:r>
        <w:rPr>
          <w:noProof/>
        </w:rPr>
        <w:drawing>
          <wp:inline distT="0" distB="0" distL="0" distR="0">
            <wp:extent cx="4637533" cy="995680"/>
            <wp:effectExtent l="0" t="0" r="0" b="0"/>
            <wp:docPr id="1159" name="Picture 1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" name="Picture 11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7533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3C02C3" w:rsidRDefault="00FB276D" w:rsidP="00FB276D">
      <w:pPr>
        <w:spacing w:line="276" w:lineRule="auto"/>
        <w:ind w:left="-8" w:right="52" w:firstLine="708"/>
      </w:pPr>
      <w:r>
        <w:rPr>
          <w:b/>
          <w:u w:val="single" w:color="000000"/>
        </w:rPr>
        <w:t>Суть скарги:</w:t>
      </w:r>
      <w:r>
        <w:t xml:space="preserve"> ПрАТ «ДІТЦ «Контакт» (далі – </w:t>
      </w:r>
      <w:r>
        <w:t>Скаржник) не погоджується з рішенням Замовника щодо відхилення його конкурсної пропозиції та визначення переможцем конкурсу ПП «</w:t>
      </w:r>
      <w:proofErr w:type="spellStart"/>
      <w:r>
        <w:t>Бестмаш</w:t>
      </w:r>
      <w:proofErr w:type="spellEnd"/>
      <w:r>
        <w:t xml:space="preserve">». </w:t>
      </w:r>
    </w:p>
    <w:p w:rsidR="003C02C3" w:rsidRDefault="00FB276D" w:rsidP="00FB276D">
      <w:pPr>
        <w:spacing w:line="276" w:lineRule="auto"/>
        <w:ind w:left="-8" w:right="52" w:firstLine="708"/>
      </w:pPr>
      <w:r>
        <w:t xml:space="preserve">Скаржник зазначив, що відповідно до п. 8.1 Додатку 1 конкурсної документації </w:t>
      </w:r>
      <w:r>
        <w:rPr>
          <w:i/>
        </w:rPr>
        <w:t>«перелік документів, що вимагається згід</w:t>
      </w:r>
      <w:r>
        <w:rPr>
          <w:i/>
        </w:rPr>
        <w:t>но з конкурсною документацією у складі пропозиції»</w:t>
      </w:r>
      <w:r>
        <w:t xml:space="preserve"> учасник мав надати копію паспорту верстату або копію документу, що замінює паспорт, а також копію керівництва з експлуатації на верстат. Однак, на виконання даної вимоги ПП «</w:t>
      </w:r>
      <w:proofErr w:type="spellStart"/>
      <w:r>
        <w:t>Бестмаш</w:t>
      </w:r>
      <w:proofErr w:type="spellEnd"/>
      <w:r>
        <w:t>» надало частину керівни</w:t>
      </w:r>
      <w:r>
        <w:t xml:space="preserve">цтва з експлуатації, при цьому від компанії Скаржника вимагалося надання повної інструкції.  </w:t>
      </w:r>
    </w:p>
    <w:p w:rsidR="003C02C3" w:rsidRDefault="00FB276D" w:rsidP="00FB276D">
      <w:pPr>
        <w:spacing w:line="276" w:lineRule="auto"/>
        <w:ind w:left="-8" w:right="52" w:firstLine="708"/>
      </w:pPr>
      <w:bookmarkStart w:id="0" w:name="_GoBack"/>
      <w:r>
        <w:rPr>
          <w:b/>
          <w:u w:val="single" w:color="000000"/>
        </w:rPr>
        <w:t>Вимога</w:t>
      </w:r>
      <w:r>
        <w:t>: скасувати рішення щодо визначення переможцем торгів ПП «</w:t>
      </w:r>
      <w:proofErr w:type="spellStart"/>
      <w:r>
        <w:t>Бестмаш</w:t>
      </w:r>
      <w:proofErr w:type="spellEnd"/>
      <w:r>
        <w:t xml:space="preserve">» та скасувати дискваліфікацію ПрАТ «ДІТЦ «Контакт». </w:t>
      </w:r>
    </w:p>
    <w:p w:rsidR="003C02C3" w:rsidRDefault="00FB276D" w:rsidP="00FB276D">
      <w:pPr>
        <w:spacing w:line="276" w:lineRule="auto"/>
        <w:ind w:left="-8" w:right="52" w:firstLine="708"/>
      </w:pPr>
      <w:r>
        <w:rPr>
          <w:b/>
          <w:u w:val="single" w:color="000000"/>
        </w:rPr>
        <w:t>Встановлено з пояснень замовника:</w:t>
      </w:r>
      <w:r>
        <w:t xml:space="preserve"> </w:t>
      </w:r>
      <w:r>
        <w:t>ПП «</w:t>
      </w:r>
      <w:proofErr w:type="spellStart"/>
      <w:r>
        <w:t>Бестмаш</w:t>
      </w:r>
      <w:proofErr w:type="spellEnd"/>
      <w:r>
        <w:t>» надав частину копії керівництва з експлуатації верстата, а саме листи № 1; 8; 9; 12; 18; 26; 34; 36; 58.  Саме ця частина (Розділ №5 – робота з панеллю управління верстата) є необхідною для визначення можливостей програмування верстата. Тому д</w:t>
      </w:r>
      <w:r>
        <w:t xml:space="preserve">ля етапу розгляду конкурсної пропозиції такої інформації Замовнику достатньо.  </w:t>
      </w:r>
    </w:p>
    <w:p w:rsidR="003C02C3" w:rsidRDefault="00FB276D" w:rsidP="00FB276D">
      <w:pPr>
        <w:spacing w:line="276" w:lineRule="auto"/>
        <w:ind w:left="-8" w:right="52" w:firstLine="427"/>
      </w:pPr>
      <w:r>
        <w:t xml:space="preserve">Оскільки компанія </w:t>
      </w:r>
      <w:proofErr w:type="spellStart"/>
      <w:r>
        <w:t>Rollwalztechnik</w:t>
      </w:r>
      <w:proofErr w:type="spellEnd"/>
      <w:r>
        <w:t xml:space="preserve"> </w:t>
      </w:r>
      <w:proofErr w:type="spellStart"/>
      <w:r>
        <w:t>Abele+Hötlich</w:t>
      </w:r>
      <w:proofErr w:type="spellEnd"/>
      <w:r>
        <w:t xml:space="preserve"> </w:t>
      </w:r>
      <w:proofErr w:type="spellStart"/>
      <w:r>
        <w:t>GMbH</w:t>
      </w:r>
      <w:proofErr w:type="spellEnd"/>
      <w:r>
        <w:t>, яку представляє ПП «</w:t>
      </w:r>
      <w:proofErr w:type="spellStart"/>
      <w:r>
        <w:t>Бестмаш</w:t>
      </w:r>
      <w:proofErr w:type="spellEnd"/>
      <w:r>
        <w:t xml:space="preserve">» одразу пропонувала верстат з використанням ПК </w:t>
      </w:r>
      <w:proofErr w:type="spellStart"/>
      <w:r>
        <w:t>Beckhoff</w:t>
      </w:r>
      <w:proofErr w:type="spellEnd"/>
      <w:r>
        <w:t xml:space="preserve"> з повноцінною клавіатурою, Замовнику н</w:t>
      </w:r>
      <w:r>
        <w:t xml:space="preserve">а  стадії розгляду пропозицій необхідно було тільки підтвердження цих можливостей.  </w:t>
      </w:r>
    </w:p>
    <w:p w:rsidR="003C02C3" w:rsidRDefault="00FB276D" w:rsidP="00FB276D">
      <w:pPr>
        <w:spacing w:line="276" w:lineRule="auto"/>
        <w:ind w:left="-8" w:right="52" w:firstLine="708"/>
      </w:pPr>
      <w:r>
        <w:rPr>
          <w:b/>
          <w:u w:val="single" w:color="000000"/>
        </w:rPr>
        <w:t>Встановлено з пояснень управління моніторингу та вдосконалення закупівель:</w:t>
      </w:r>
      <w:r>
        <w:rPr>
          <w:i/>
        </w:rPr>
        <w:t xml:space="preserve"> </w:t>
      </w:r>
      <w:r>
        <w:t xml:space="preserve">слід зазначити, що 14.06.2021 через систему «Оскарження» отримано інформаційне повідомлення від </w:t>
      </w:r>
      <w:r>
        <w:t xml:space="preserve">Скаржника щодо неправомірного відхилення його конкурсної пропозиції в оскаржуваній закупівлі. </w:t>
      </w:r>
      <w:r>
        <w:lastRenderedPageBreak/>
        <w:t xml:space="preserve">При розгляді звернення також враховано листи Скаржника, які надходили офіційно на адресу Концерну.  </w:t>
      </w:r>
    </w:p>
    <w:p w:rsidR="003C02C3" w:rsidRDefault="00FB276D" w:rsidP="00FB276D">
      <w:pPr>
        <w:spacing w:line="276" w:lineRule="auto"/>
        <w:ind w:left="-8" w:right="52" w:firstLine="708"/>
      </w:pPr>
      <w:r>
        <w:t>Так, по даному питанню отримано пояснення зі сторони ДП «Анто</w:t>
      </w:r>
      <w:r>
        <w:t xml:space="preserve">нов», в якому зазначалося, що до Скаржника направлено два листи з вимогами надати: довідки, що підтверджують відсутність кримінальних проваджень від імені виробника, уточнення щодо встановленої операційної системи, яку встановлено на обладнанні, оновлений </w:t>
      </w:r>
      <w:proofErr w:type="spellStart"/>
      <w:r>
        <w:t>референц</w:t>
      </w:r>
      <w:proofErr w:type="spellEnd"/>
      <w:r>
        <w:t xml:space="preserve">-лист, копію керівництва з експлуатації верстата тощо. Частину вимог виконано, однак за результатами розгляду технічних параметрів все ж було виявлено невідповідність. </w:t>
      </w:r>
    </w:p>
    <w:p w:rsidR="003C02C3" w:rsidRDefault="00FB276D" w:rsidP="00FB276D">
      <w:pPr>
        <w:spacing w:line="276" w:lineRule="auto"/>
        <w:ind w:left="-8" w:right="52" w:firstLine="708"/>
      </w:pPr>
      <w:r>
        <w:t xml:space="preserve">За результатом опрацювання інформаційного повідомлення Скаржнику через систему </w:t>
      </w:r>
      <w:r>
        <w:t xml:space="preserve">«Оскарження» 24.06.2021 на електронну адресу </w:t>
      </w:r>
      <w:r>
        <w:rPr>
          <w:color w:val="0000FF"/>
          <w:u w:val="single" w:color="0000FF"/>
        </w:rPr>
        <w:t>nps.ditccontact@gmail.com</w:t>
      </w:r>
      <w:r>
        <w:t xml:space="preserve"> направлено лист з роз’ясненням виявлених </w:t>
      </w:r>
      <w:proofErr w:type="spellStart"/>
      <w:r>
        <w:t>невідповідностей</w:t>
      </w:r>
      <w:proofErr w:type="spellEnd"/>
      <w:r>
        <w:t xml:space="preserve">, що стали підставою для відхилення.  </w:t>
      </w:r>
    </w:p>
    <w:p w:rsidR="003C02C3" w:rsidRDefault="00FB276D" w:rsidP="00FB276D">
      <w:pPr>
        <w:spacing w:line="276" w:lineRule="auto"/>
        <w:ind w:left="-8" w:right="52" w:firstLine="708"/>
      </w:pPr>
      <w:r>
        <w:t>Враховуючи, що Скаржником не наведено нових доводів та аргументів скарга у частині дисква</w:t>
      </w:r>
      <w:r>
        <w:t xml:space="preserve">ліфікації конкурсної пропозиції ПрАТ «ДІТЦ «Контакт» не підлягає розгляду. </w:t>
      </w:r>
    </w:p>
    <w:p w:rsidR="003C02C3" w:rsidRDefault="00FB276D" w:rsidP="00FB276D">
      <w:pPr>
        <w:spacing w:line="276" w:lineRule="auto"/>
        <w:ind w:left="-8" w:right="52" w:firstLine="708"/>
      </w:pPr>
      <w:r>
        <w:rPr>
          <w:b/>
          <w:u w:val="single" w:color="000000"/>
        </w:rPr>
        <w:t>Запропоновано</w:t>
      </w:r>
      <w:r>
        <w:t xml:space="preserve">: враховуючи наявну інформацію, </w:t>
      </w:r>
      <w:r>
        <w:rPr>
          <w:b/>
        </w:rPr>
        <w:t xml:space="preserve">відхилити </w:t>
      </w:r>
      <w:r>
        <w:t xml:space="preserve">скаргу ПрАТ «ДІТЦ «Контакт».  </w:t>
      </w:r>
    </w:p>
    <w:p w:rsidR="003C02C3" w:rsidRDefault="00FB276D" w:rsidP="00FB276D">
      <w:pPr>
        <w:spacing w:line="276" w:lineRule="auto"/>
        <w:ind w:left="-8" w:right="52" w:firstLine="708"/>
      </w:pPr>
      <w:r>
        <w:t>Секретарю Колегії з розгляду скарг Концерну підготувати та направити до Замовника та Скаржника</w:t>
      </w:r>
      <w:r>
        <w:t xml:space="preserve"> результати розгляду скарги.  </w:t>
      </w:r>
      <w:r>
        <w:rPr>
          <w:i/>
          <w:u w:val="single" w:color="000000"/>
        </w:rPr>
        <w:t>Замовнику</w:t>
      </w:r>
      <w:r>
        <w:rPr>
          <w:u w:val="single" w:color="000000"/>
        </w:rPr>
        <w:t>:</w:t>
      </w:r>
      <w:r>
        <w:t xml:space="preserve"> скаргу </w:t>
      </w:r>
      <w:proofErr w:type="spellStart"/>
      <w:r>
        <w:t>відхилено</w:t>
      </w:r>
      <w:proofErr w:type="spellEnd"/>
      <w:r>
        <w:t xml:space="preserve">.  </w:t>
      </w:r>
    </w:p>
    <w:p w:rsidR="003C02C3" w:rsidRDefault="00FB276D" w:rsidP="00FB276D">
      <w:pPr>
        <w:spacing w:after="57" w:line="276" w:lineRule="auto"/>
        <w:ind w:left="7" w:firstLine="0"/>
        <w:jc w:val="left"/>
      </w:pPr>
      <w:r>
        <w:rPr>
          <w:i/>
        </w:rPr>
        <w:t xml:space="preserve"> </w:t>
      </w:r>
    </w:p>
    <w:p w:rsidR="003C02C3" w:rsidRDefault="00FB276D" w:rsidP="00FB276D">
      <w:pPr>
        <w:spacing w:line="276" w:lineRule="auto"/>
        <w:ind w:left="2" w:right="52"/>
      </w:pPr>
      <w:r>
        <w:rPr>
          <w:i/>
          <w:u w:val="single" w:color="000000"/>
        </w:rPr>
        <w:t>Скаржнику:</w:t>
      </w:r>
      <w:r>
        <w:t xml:space="preserve"> скаргу </w:t>
      </w:r>
      <w:proofErr w:type="spellStart"/>
      <w:r>
        <w:t>відхилено</w:t>
      </w:r>
      <w:proofErr w:type="spellEnd"/>
      <w:r>
        <w:t>. При розгляді скарги встановлено, що ПП «</w:t>
      </w:r>
      <w:proofErr w:type="spellStart"/>
      <w:r>
        <w:t>Бестмаш</w:t>
      </w:r>
      <w:proofErr w:type="spellEnd"/>
      <w:r>
        <w:t>» надав частину копії керівництва з експлуатації верстата, а саме листи № 1; 8; 9; 12; 18; 26; 34; 36; 58.  Саме ця ч</w:t>
      </w:r>
      <w:r>
        <w:t xml:space="preserve">астина була необхідна Замовнику для визначення можливостей програмування верстата.  </w:t>
      </w:r>
    </w:p>
    <w:p w:rsidR="003C02C3" w:rsidRDefault="00FB276D" w:rsidP="00FB276D">
      <w:pPr>
        <w:spacing w:line="276" w:lineRule="auto"/>
        <w:ind w:left="-8" w:right="52" w:firstLine="708"/>
      </w:pPr>
      <w:r>
        <w:t>Оскільки ПП «</w:t>
      </w:r>
      <w:proofErr w:type="spellStart"/>
      <w:r>
        <w:t>Бестмаш</w:t>
      </w:r>
      <w:proofErr w:type="spellEnd"/>
      <w:r>
        <w:t xml:space="preserve">» одразу пропонувала верстат з використанням ПК </w:t>
      </w:r>
      <w:proofErr w:type="spellStart"/>
      <w:r>
        <w:t>Beckhoff</w:t>
      </w:r>
      <w:proofErr w:type="spellEnd"/>
      <w:r>
        <w:t xml:space="preserve"> з повноцінною клавіатурою, Замовнику на  стадії розгляду пропозицій необхідно було тільки підт</w:t>
      </w:r>
      <w:r>
        <w:t xml:space="preserve">вердження цих можливостей.  </w:t>
      </w:r>
    </w:p>
    <w:p w:rsidR="003C02C3" w:rsidRDefault="00FB276D" w:rsidP="00FB276D">
      <w:pPr>
        <w:spacing w:line="276" w:lineRule="auto"/>
        <w:ind w:left="-8" w:right="52" w:firstLine="427"/>
      </w:pPr>
      <w:r>
        <w:t xml:space="preserve"> Таким чином, надавши частину керівництва з експлуатації учасником було підтверджено характеристики обладнання. </w:t>
      </w:r>
    </w:p>
    <w:p w:rsidR="003C02C3" w:rsidRDefault="00FB276D" w:rsidP="00FB276D">
      <w:pPr>
        <w:tabs>
          <w:tab w:val="center" w:pos="3291"/>
        </w:tabs>
        <w:spacing w:after="0" w:line="276" w:lineRule="auto"/>
        <w:ind w:left="-8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  <w:i/>
          <w:sz w:val="21"/>
        </w:rPr>
        <w:t xml:space="preserve">Щодо даного питання, винесеного на голосування, члени Колегії, проголосували одноголосно «ЗА». </w:t>
      </w:r>
    </w:p>
    <w:bookmarkEnd w:id="0"/>
    <w:p w:rsidR="003C02C3" w:rsidRDefault="00FB276D">
      <w:pPr>
        <w:spacing w:after="0" w:line="259" w:lineRule="auto"/>
        <w:ind w:left="7" w:firstLine="0"/>
        <w:jc w:val="left"/>
      </w:pPr>
      <w:r>
        <w:rPr>
          <w:b/>
        </w:rPr>
        <w:t xml:space="preserve"> </w:t>
      </w:r>
    </w:p>
    <w:p w:rsidR="003C02C3" w:rsidRDefault="00FB276D">
      <w:pPr>
        <w:spacing w:after="0" w:line="259" w:lineRule="auto"/>
        <w:ind w:left="7" w:firstLine="0"/>
        <w:jc w:val="left"/>
      </w:pPr>
      <w:r>
        <w:rPr>
          <w:b/>
        </w:rPr>
        <w:t xml:space="preserve"> </w:t>
      </w:r>
    </w:p>
    <w:p w:rsidR="00FB276D" w:rsidRDefault="00FB276D" w:rsidP="00FB276D">
      <w:pPr>
        <w:spacing w:after="381" w:line="259" w:lineRule="auto"/>
        <w:ind w:left="3854" w:firstLine="0"/>
        <w:jc w:val="center"/>
      </w:pPr>
      <w:r>
        <w:rPr>
          <w:sz w:val="12"/>
        </w:rPr>
        <w:t>ДК УКРОБОРОНПРОМ</w:t>
      </w:r>
    </w:p>
    <w:p w:rsidR="00FB276D" w:rsidRDefault="00FB276D" w:rsidP="00FB276D">
      <w:pPr>
        <w:pStyle w:val="1"/>
      </w:pPr>
      <w:r>
        <w:t></w:t>
      </w:r>
      <w:r>
        <w:t></w:t>
      </w:r>
      <w:r>
        <w:t></w:t>
      </w:r>
      <w:r>
        <w:t></w:t>
      </w:r>
      <w:r>
        <w:t></w:t>
      </w:r>
      <w:r>
        <w:t></w:t>
      </w:r>
      <w:r>
        <w:t></w:t>
      </w:r>
      <w:r>
        <w:t></w:t>
      </w:r>
      <w:r>
        <w:t></w:t>
      </w:r>
      <w:r>
        <w:t></w:t>
      </w:r>
    </w:p>
    <w:p w:rsidR="00FB276D" w:rsidRDefault="00FB276D" w:rsidP="00FB276D">
      <w:pPr>
        <w:spacing w:after="0" w:line="259" w:lineRule="auto"/>
        <w:ind w:left="3854" w:firstLine="0"/>
        <w:jc w:val="center"/>
      </w:pPr>
      <w:r>
        <w:rPr>
          <w:sz w:val="16"/>
        </w:rPr>
        <w:t>3091911</w:t>
      </w:r>
    </w:p>
    <w:p w:rsidR="003C02C3" w:rsidRDefault="003C02C3">
      <w:pPr>
        <w:spacing w:after="0" w:line="259" w:lineRule="auto"/>
        <w:ind w:left="7" w:firstLine="0"/>
        <w:jc w:val="left"/>
      </w:pPr>
    </w:p>
    <w:sectPr w:rsidR="003C02C3">
      <w:footerReference w:type="even" r:id="rId8"/>
      <w:footerReference w:type="default" r:id="rId9"/>
      <w:footerReference w:type="first" r:id="rId10"/>
      <w:pgSz w:w="11906" w:h="16838"/>
      <w:pgMar w:top="1134" w:right="786" w:bottom="168" w:left="1695" w:header="708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276D">
      <w:pPr>
        <w:spacing w:after="0" w:line="240" w:lineRule="auto"/>
      </w:pPr>
      <w:r>
        <w:separator/>
      </w:r>
    </w:p>
  </w:endnote>
  <w:endnote w:type="continuationSeparator" w:id="0">
    <w:p w:rsidR="00000000" w:rsidRDefault="00FB2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2C3" w:rsidRDefault="00FB276D">
    <w:pPr>
      <w:spacing w:after="0" w:line="259" w:lineRule="auto"/>
      <w:ind w:left="0" w:right="909" w:firstLine="0"/>
      <w:jc w:val="center"/>
    </w:pPr>
    <w:r>
      <w:t>№ 26 від 13.07.2021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2C3" w:rsidRDefault="00FB276D">
    <w:pPr>
      <w:spacing w:after="0" w:line="259" w:lineRule="auto"/>
      <w:ind w:left="0" w:right="909" w:firstLine="0"/>
      <w:jc w:val="center"/>
    </w:pPr>
    <w:r>
      <w:t>№ 26 від 13.07.2021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2C3" w:rsidRDefault="00FB276D">
    <w:pPr>
      <w:spacing w:after="0" w:line="259" w:lineRule="auto"/>
      <w:ind w:left="0" w:right="909" w:firstLine="0"/>
      <w:jc w:val="center"/>
    </w:pPr>
    <w:r>
      <w:t>№ 26 від 13.07.2021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276D">
      <w:pPr>
        <w:spacing w:after="0" w:line="240" w:lineRule="auto"/>
      </w:pPr>
      <w:r>
        <w:separator/>
      </w:r>
    </w:p>
  </w:footnote>
  <w:footnote w:type="continuationSeparator" w:id="0">
    <w:p w:rsidR="00000000" w:rsidRDefault="00FB2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35AD"/>
    <w:multiLevelType w:val="hybridMultilevel"/>
    <w:tmpl w:val="CE260C92"/>
    <w:lvl w:ilvl="0" w:tplc="8892EF0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7C71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29E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24F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5C9C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A63C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C67D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2234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08F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D1375F"/>
    <w:multiLevelType w:val="hybridMultilevel"/>
    <w:tmpl w:val="FE50D18C"/>
    <w:lvl w:ilvl="0" w:tplc="80B2AC2E">
      <w:start w:val="1"/>
      <w:numFmt w:val="bullet"/>
      <w:lvlText w:val="-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DAF4E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4C0A0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34EB6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F037B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D6B82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B8B78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4D40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9E4FD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6B765D"/>
    <w:multiLevelType w:val="hybridMultilevel"/>
    <w:tmpl w:val="62FCD560"/>
    <w:lvl w:ilvl="0" w:tplc="59A22B2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38437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E6BD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DA7F3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AA871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4AF3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52BB1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1E6FC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08C63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C3"/>
    <w:rsid w:val="003C02C3"/>
    <w:rsid w:val="00FB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6FE9"/>
  <w15:docId w15:val="{7536832E-CAD9-4B24-AA5C-680C79F1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304" w:lineRule="auto"/>
      <w:ind w:left="1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854"/>
      <w:jc w:val="center"/>
      <w:outlineLvl w:val="0"/>
    </w:pPr>
    <w:rPr>
      <w:rFonts w:ascii="Code 128" w:eastAsia="Code 128" w:hAnsi="Code 128" w:cs="Code 128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de 128" w:eastAsia="Code 128" w:hAnsi="Code 128" w:cs="Code 128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2817</Words>
  <Characters>1607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2021-07-13T11:25:00Z</dcterms:created>
  <dcterms:modified xsi:type="dcterms:W3CDTF">2021-07-13T11:25:00Z</dcterms:modified>
</cp:coreProperties>
</file>