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04F" w:rsidRDefault="0075704F" w:rsidP="0075704F">
      <w:pPr>
        <w:spacing w:after="62" w:line="259" w:lineRule="auto"/>
        <w:ind w:left="10" w:right="55" w:hanging="10"/>
        <w:jc w:val="center"/>
      </w:pPr>
      <w:r>
        <w:rPr>
          <w:b/>
        </w:rPr>
        <w:t xml:space="preserve">ВИТЯГ з Протоколу № 28 </w:t>
      </w:r>
    </w:p>
    <w:p w:rsidR="0075704F" w:rsidRDefault="0075704F" w:rsidP="0075704F">
      <w:pPr>
        <w:spacing w:after="62" w:line="259" w:lineRule="auto"/>
        <w:ind w:left="10" w:right="60" w:hanging="10"/>
        <w:jc w:val="center"/>
      </w:pPr>
      <w:r>
        <w:rPr>
          <w:b/>
        </w:rPr>
        <w:t xml:space="preserve">засідання Колегії з розгляду скарг у сфері закупівель підприємств </w:t>
      </w:r>
    </w:p>
    <w:p w:rsidR="0075704F" w:rsidRDefault="0075704F" w:rsidP="0075704F">
      <w:pPr>
        <w:spacing w:after="14" w:line="259" w:lineRule="auto"/>
        <w:ind w:left="10" w:right="56" w:hanging="10"/>
        <w:jc w:val="center"/>
      </w:pPr>
      <w:r>
        <w:rPr>
          <w:b/>
        </w:rPr>
        <w:t>Державного концерну «Укроборонпром»</w:t>
      </w:r>
      <w:r>
        <w:rPr>
          <w:b/>
          <w:i/>
        </w:rPr>
        <w:t xml:space="preserve"> </w:t>
      </w:r>
    </w:p>
    <w:p w:rsidR="004B3747" w:rsidRDefault="0075704F">
      <w:pPr>
        <w:spacing w:after="37" w:line="259" w:lineRule="auto"/>
        <w:ind w:left="1" w:firstLine="0"/>
        <w:jc w:val="center"/>
      </w:pPr>
      <w:r>
        <w:t xml:space="preserve"> </w:t>
      </w:r>
    </w:p>
    <w:p w:rsidR="004B3747" w:rsidRDefault="0075704F">
      <w:pPr>
        <w:tabs>
          <w:tab w:val="center" w:pos="1423"/>
          <w:tab w:val="center" w:pos="2132"/>
          <w:tab w:val="center" w:pos="2840"/>
          <w:tab w:val="center" w:pos="3548"/>
          <w:tab w:val="center" w:pos="4256"/>
          <w:tab w:val="center" w:pos="4964"/>
          <w:tab w:val="center" w:pos="5672"/>
          <w:tab w:val="center" w:pos="6380"/>
          <w:tab w:val="center" w:pos="7977"/>
        </w:tabs>
        <w:ind w:left="-5" w:firstLine="0"/>
        <w:jc w:val="left"/>
      </w:pPr>
      <w:r>
        <w:t xml:space="preserve">м. Київ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«26» липня 2021 р. </w:t>
      </w:r>
    </w:p>
    <w:p w:rsidR="004B3747" w:rsidRDefault="0075704F">
      <w:pPr>
        <w:spacing w:after="60" w:line="259" w:lineRule="auto"/>
        <w:ind w:firstLine="0"/>
        <w:jc w:val="left"/>
      </w:pPr>
      <w:r>
        <w:rPr>
          <w:i/>
        </w:rPr>
        <w:t xml:space="preserve"> </w:t>
      </w:r>
    </w:p>
    <w:p w:rsidR="004B3747" w:rsidRDefault="004B3747">
      <w:pPr>
        <w:spacing w:after="60" w:line="259" w:lineRule="auto"/>
        <w:ind w:firstLine="0"/>
        <w:jc w:val="left"/>
      </w:pPr>
    </w:p>
    <w:p w:rsidR="004B3747" w:rsidRDefault="0075704F">
      <w:pPr>
        <w:spacing w:after="61" w:line="259" w:lineRule="auto"/>
        <w:ind w:left="2" w:hanging="10"/>
        <w:jc w:val="left"/>
      </w:pPr>
      <w:r>
        <w:rPr>
          <w:b/>
          <w:u w:val="single" w:color="000000"/>
        </w:rPr>
        <w:t>Порядок денний:</w:t>
      </w:r>
      <w:r>
        <w:rPr>
          <w:b/>
        </w:rPr>
        <w:t xml:space="preserve"> </w:t>
      </w:r>
    </w:p>
    <w:p w:rsidR="004B3747" w:rsidRDefault="004B3747">
      <w:pPr>
        <w:numPr>
          <w:ilvl w:val="0"/>
          <w:numId w:val="2"/>
        </w:numPr>
        <w:ind w:firstLine="0"/>
      </w:pPr>
    </w:p>
    <w:p w:rsidR="004B3747" w:rsidRDefault="0075704F">
      <w:pPr>
        <w:numPr>
          <w:ilvl w:val="0"/>
          <w:numId w:val="2"/>
        </w:numPr>
        <w:ind w:firstLine="0"/>
      </w:pPr>
      <w:r>
        <w:t>Розгляд скарги ТОВ «СП «Стан-</w:t>
      </w:r>
      <w:r>
        <w:t>Комплект» щодо неправомірного визначення переможця конкурсу ДП «ЖМЗ «Візар» у закупівлі токарно-гвинторізного верстату (</w:t>
      </w:r>
      <w:r>
        <w:rPr>
          <w:sz w:val="24"/>
        </w:rPr>
        <w:t>UA-2021-06-07-004566c</w:t>
      </w:r>
      <w:r>
        <w:t xml:space="preserve">), очікуваною вартістю 4 000 000,00 грн без ПДВ. </w:t>
      </w:r>
      <w:r>
        <w:rPr>
          <w:b/>
        </w:rPr>
        <w:t xml:space="preserve"> </w:t>
      </w:r>
    </w:p>
    <w:p w:rsidR="004B3747" w:rsidRDefault="004B3747">
      <w:pPr>
        <w:spacing w:after="14" w:line="259" w:lineRule="auto"/>
        <w:ind w:firstLine="0"/>
        <w:jc w:val="left"/>
      </w:pPr>
    </w:p>
    <w:p w:rsidR="004B3747" w:rsidRDefault="0075704F">
      <w:pPr>
        <w:spacing w:after="16" w:line="259" w:lineRule="auto"/>
        <w:ind w:left="2" w:hanging="10"/>
        <w:jc w:val="left"/>
      </w:pPr>
      <w:r>
        <w:rPr>
          <w:b/>
          <w:u w:val="single" w:color="000000"/>
        </w:rPr>
        <w:t>С</w:t>
      </w:r>
      <w:r>
        <w:rPr>
          <w:b/>
          <w:u w:val="single" w:color="000000"/>
        </w:rPr>
        <w:t>лухали:</w:t>
      </w:r>
      <w:r>
        <w:rPr>
          <w:b/>
        </w:rPr>
        <w:t xml:space="preserve"> </w:t>
      </w:r>
    </w:p>
    <w:p w:rsidR="004B3747" w:rsidRDefault="0075704F">
      <w:pPr>
        <w:spacing w:after="62" w:line="259" w:lineRule="auto"/>
        <w:ind w:firstLine="0"/>
        <w:jc w:val="left"/>
      </w:pPr>
      <w:r>
        <w:rPr>
          <w:b/>
        </w:rPr>
        <w:t xml:space="preserve"> </w:t>
      </w:r>
    </w:p>
    <w:p w:rsidR="004B3747" w:rsidRDefault="0075704F">
      <w:pPr>
        <w:spacing w:after="15" w:line="259" w:lineRule="auto"/>
        <w:ind w:left="2" w:hanging="10"/>
        <w:jc w:val="left"/>
      </w:pPr>
      <w:r>
        <w:rPr>
          <w:b/>
          <w:i/>
          <w:u w:val="single" w:color="000000"/>
        </w:rPr>
        <w:t xml:space="preserve">Щодо другого </w:t>
      </w:r>
      <w:r>
        <w:rPr>
          <w:b/>
          <w:i/>
          <w:u w:val="single" w:color="000000"/>
        </w:rPr>
        <w:t>питання порядку денного:</w:t>
      </w:r>
      <w:r>
        <w:rPr>
          <w:b/>
          <w:i/>
        </w:rPr>
        <w:t xml:space="preserve"> </w:t>
      </w:r>
    </w:p>
    <w:p w:rsidR="004B3747" w:rsidRDefault="0075704F">
      <w:pPr>
        <w:spacing w:after="57" w:line="259" w:lineRule="auto"/>
        <w:ind w:firstLine="0"/>
        <w:jc w:val="left"/>
      </w:pPr>
      <w:r>
        <w:rPr>
          <w:b/>
          <w:i/>
        </w:rPr>
        <w:t xml:space="preserve"> </w:t>
      </w:r>
    </w:p>
    <w:p w:rsidR="004B3747" w:rsidRPr="0075704F" w:rsidRDefault="0075704F" w:rsidP="0075704F">
      <w:pPr>
        <w:spacing w:line="276" w:lineRule="auto"/>
        <w:ind w:left="-5"/>
      </w:pPr>
      <w:r w:rsidRPr="0075704F">
        <w:t>Секретар</w:t>
      </w:r>
      <w:r w:rsidRPr="0075704F">
        <w:rPr>
          <w:b/>
        </w:rPr>
        <w:t xml:space="preserve"> </w:t>
      </w:r>
      <w:r w:rsidRPr="0075704F">
        <w:t>Колегії повідомила, що ДП «ЖМЗ «Візар» (далі – Замовник) проводило конкурс на закупівлю токарно-гвинторізного верстату (</w:t>
      </w:r>
      <w:r w:rsidRPr="0075704F">
        <w:t>UA-2021-06-07-004566-c</w:t>
      </w:r>
      <w:r w:rsidRPr="0075704F">
        <w:t>). Згідно з інформацією, розміщеною у системі «</w:t>
      </w:r>
      <w:proofErr w:type="spellStart"/>
      <w:r w:rsidRPr="0075704F">
        <w:t>Prozorro</w:t>
      </w:r>
      <w:proofErr w:type="spellEnd"/>
      <w:r w:rsidRPr="0075704F">
        <w:t>», свої пропозиції для</w:t>
      </w:r>
      <w:r w:rsidRPr="0075704F">
        <w:t xml:space="preserve"> участі у закупівлі подали наступні учасники: </w:t>
      </w:r>
    </w:p>
    <w:p w:rsidR="004B3747" w:rsidRDefault="0075704F">
      <w:pPr>
        <w:spacing w:after="0" w:line="259" w:lineRule="auto"/>
        <w:ind w:left="6" w:firstLine="0"/>
        <w:jc w:val="left"/>
      </w:pPr>
      <w:r>
        <w:rPr>
          <w:noProof/>
        </w:rPr>
        <w:drawing>
          <wp:inline distT="0" distB="0" distL="0" distR="0">
            <wp:extent cx="4800473" cy="1783715"/>
            <wp:effectExtent l="0" t="0" r="0" b="0"/>
            <wp:docPr id="1013" name="Picture 1013"/>
            <wp:cNvGraphicFramePr/>
            <a:graphic xmlns:a="http://schemas.openxmlformats.org/drawingml/2006/main">
              <a:graphicData uri="http://schemas.openxmlformats.org/drawingml/2006/picture">
                <pic:pic xmlns:pic="http://schemas.openxmlformats.org/drawingml/2006/picture">
                  <pic:nvPicPr>
                    <pic:cNvPr id="1013" name="Picture 1013"/>
                    <pic:cNvPicPr/>
                  </pic:nvPicPr>
                  <pic:blipFill>
                    <a:blip r:embed="rId7"/>
                    <a:stretch>
                      <a:fillRect/>
                    </a:stretch>
                  </pic:blipFill>
                  <pic:spPr>
                    <a:xfrm>
                      <a:off x="0" y="0"/>
                      <a:ext cx="4800473" cy="1783715"/>
                    </a:xfrm>
                    <a:prstGeom prst="rect">
                      <a:avLst/>
                    </a:prstGeom>
                  </pic:spPr>
                </pic:pic>
              </a:graphicData>
            </a:graphic>
          </wp:inline>
        </w:drawing>
      </w:r>
      <w:r>
        <w:rPr>
          <w:b/>
          <w:i/>
        </w:rPr>
        <w:t xml:space="preserve"> </w:t>
      </w:r>
    </w:p>
    <w:p w:rsidR="004B3747" w:rsidRDefault="0075704F">
      <w:pPr>
        <w:spacing w:after="57" w:line="259" w:lineRule="auto"/>
        <w:ind w:firstLine="0"/>
        <w:jc w:val="left"/>
      </w:pPr>
      <w:r>
        <w:rPr>
          <w:b/>
          <w:i/>
        </w:rPr>
        <w:t xml:space="preserve"> </w:t>
      </w:r>
    </w:p>
    <w:p w:rsidR="004B3747" w:rsidRPr="0075704F" w:rsidRDefault="0075704F" w:rsidP="0075704F">
      <w:pPr>
        <w:spacing w:line="276" w:lineRule="auto"/>
        <w:ind w:left="-5"/>
      </w:pPr>
      <w:r w:rsidRPr="0075704F">
        <w:rPr>
          <w:b/>
          <w:u w:val="single" w:color="000000"/>
        </w:rPr>
        <w:t>Суть скарги:</w:t>
      </w:r>
      <w:r w:rsidRPr="0075704F">
        <w:t xml:space="preserve"> ТОВ «СП «Стан-Комплект» (далі – Скаржник) не погоджується з рішенням Замовника щодо визначення переможцем торгів ПАТ «ДІТЦ «Контакт» (далі – </w:t>
      </w:r>
      <w:r w:rsidRPr="0075704F">
        <w:t xml:space="preserve">товариство), адже запропоноване ним обладнання не відповідає технічним характеристикам конкурсної документації Замовника. Зокрема це параметри: найбільший діаметр оброблювальної заготовки, найбільша довжина виробу, межі шагів різьб тощо. </w:t>
      </w:r>
    </w:p>
    <w:p w:rsidR="004B3747" w:rsidRPr="0075704F" w:rsidRDefault="0075704F" w:rsidP="0075704F">
      <w:pPr>
        <w:spacing w:line="276" w:lineRule="auto"/>
        <w:ind w:left="-5"/>
      </w:pPr>
      <w:r w:rsidRPr="0075704F">
        <w:t>Товариством не на</w:t>
      </w:r>
      <w:r w:rsidRPr="0075704F">
        <w:t xml:space="preserve">дано числові показники за параметрами: найбільший поперечний перетин різців, ціна поділки лімба поперечного та повздовжнього переміщення тощо, а також не надано паспорт обладнання. </w:t>
      </w:r>
    </w:p>
    <w:p w:rsidR="004B3747" w:rsidRPr="0075704F" w:rsidRDefault="0075704F" w:rsidP="0075704F">
      <w:pPr>
        <w:spacing w:line="276" w:lineRule="auto"/>
        <w:ind w:left="-5"/>
      </w:pPr>
      <w:r w:rsidRPr="0075704F">
        <w:t xml:space="preserve">Також наявна невідповідність умовам комплекту поставки за показником «4-х </w:t>
      </w:r>
      <w:r w:rsidRPr="0075704F">
        <w:t xml:space="preserve">позиційна револьверна головка». </w:t>
      </w:r>
    </w:p>
    <w:p w:rsidR="004B3747" w:rsidRPr="0075704F" w:rsidRDefault="0075704F" w:rsidP="0075704F">
      <w:pPr>
        <w:spacing w:after="16" w:line="276" w:lineRule="auto"/>
        <w:ind w:left="10" w:right="-9" w:hanging="10"/>
        <w:jc w:val="center"/>
      </w:pPr>
      <w:r w:rsidRPr="0075704F">
        <w:t xml:space="preserve">Запропоноване товариством обладнання виробництва компанії EISEN </w:t>
      </w:r>
      <w:proofErr w:type="spellStart"/>
      <w:r w:rsidRPr="0075704F">
        <w:t>Machinery</w:t>
      </w:r>
      <w:proofErr w:type="spellEnd"/>
      <w:r w:rsidRPr="0075704F">
        <w:t xml:space="preserve">, </w:t>
      </w:r>
      <w:proofErr w:type="spellStart"/>
      <w:r w:rsidRPr="0075704F">
        <w:t>Incl</w:t>
      </w:r>
      <w:proofErr w:type="spellEnd"/>
      <w:r w:rsidRPr="0075704F">
        <w:t xml:space="preserve"> </w:t>
      </w:r>
    </w:p>
    <w:p w:rsidR="004B3747" w:rsidRPr="0075704F" w:rsidRDefault="0075704F" w:rsidP="0075704F">
      <w:pPr>
        <w:spacing w:line="276" w:lineRule="auto"/>
        <w:ind w:left="-5" w:firstLine="0"/>
      </w:pPr>
      <w:r w:rsidRPr="0075704F">
        <w:t>(США), а протокол перевірки точності надано від компанії «CYCLEMATIC MACHINERY CO., LTD.», що свідчить про недостовірність наданої інформації.</w:t>
      </w:r>
      <w:r w:rsidRPr="0075704F">
        <w:t xml:space="preserve">  </w:t>
      </w:r>
    </w:p>
    <w:p w:rsidR="004B3747" w:rsidRPr="0075704F" w:rsidRDefault="0075704F" w:rsidP="0075704F">
      <w:pPr>
        <w:spacing w:line="276" w:lineRule="auto"/>
        <w:ind w:left="-5"/>
      </w:pPr>
      <w:r w:rsidRPr="0075704F">
        <w:t xml:space="preserve">Щодо кваліфікаційних критеріїв, то ПАТ «ДІТЦ «Контакт» не надав посвідчення (протоколи) про проходження працівниками професійного навчання: </w:t>
      </w:r>
    </w:p>
    <w:p w:rsidR="004B3747" w:rsidRPr="0075704F" w:rsidRDefault="0075704F" w:rsidP="0075704F">
      <w:pPr>
        <w:spacing w:line="276" w:lineRule="auto"/>
        <w:ind w:left="-5"/>
      </w:pPr>
      <w:r w:rsidRPr="0075704F">
        <w:rPr>
          <w:b/>
          <w:u w:val="single" w:color="000000"/>
        </w:rPr>
        <w:t>Вимога</w:t>
      </w:r>
      <w:r w:rsidRPr="0075704F">
        <w:t>: скасувати рішення відповідальної особи від 08.07.2021 №31 щодо визнання переможцем конкурсу ПАТ «ДІТЦ «К</w:t>
      </w:r>
      <w:r w:rsidRPr="0075704F">
        <w:t xml:space="preserve">онтакт». </w:t>
      </w:r>
    </w:p>
    <w:p w:rsidR="004B3747" w:rsidRPr="0075704F" w:rsidRDefault="0075704F" w:rsidP="0075704F">
      <w:pPr>
        <w:spacing w:line="276" w:lineRule="auto"/>
        <w:ind w:left="-5"/>
      </w:pPr>
      <w:r w:rsidRPr="0075704F">
        <w:rPr>
          <w:b/>
          <w:u w:val="single" w:color="000000"/>
        </w:rPr>
        <w:lastRenderedPageBreak/>
        <w:t>Встановлено з пояснень замовника</w:t>
      </w:r>
      <w:r w:rsidRPr="0075704F">
        <w:t xml:space="preserve">: під час розгляду скарги Замовником скасовано рішення щодо визначення переможцем торгів ПАТ «ДІТЦ «Контакт» та направлено вимогу щодо усунення виявлених </w:t>
      </w:r>
      <w:proofErr w:type="spellStart"/>
      <w:r w:rsidRPr="0075704F">
        <w:t>невідповідностей</w:t>
      </w:r>
      <w:proofErr w:type="spellEnd"/>
      <w:r w:rsidRPr="0075704F">
        <w:t xml:space="preserve">.  </w:t>
      </w:r>
    </w:p>
    <w:p w:rsidR="004B3747" w:rsidRPr="0075704F" w:rsidRDefault="0075704F" w:rsidP="0075704F">
      <w:pPr>
        <w:spacing w:line="276" w:lineRule="auto"/>
        <w:ind w:left="-5"/>
      </w:pPr>
      <w:r w:rsidRPr="0075704F">
        <w:t>На виконання вимоги товариством на електронну адресу Замовника направлено інформацію щодо відповідності технічних параметрів. Замовник зазначив, що всі відхилення є несуттєвими та забезпечують вимоги виробництва. Параметр «4-х позиційна револьверна головка</w:t>
      </w:r>
      <w:r w:rsidRPr="0075704F">
        <w:t xml:space="preserve">» входить до складу обладнання. Також надано підтвердження методів перевірки точності верстату та оригінал паспорту.  </w:t>
      </w:r>
    </w:p>
    <w:p w:rsidR="004B3747" w:rsidRPr="0075704F" w:rsidRDefault="0075704F" w:rsidP="0075704F">
      <w:pPr>
        <w:spacing w:line="276" w:lineRule="auto"/>
        <w:ind w:left="-5"/>
      </w:pPr>
      <w:r w:rsidRPr="0075704F">
        <w:t xml:space="preserve">Довідка про наявність штатних сервіс інженерів та технологів додана до конкурсної пропозиції товариства. </w:t>
      </w:r>
    </w:p>
    <w:p w:rsidR="004B3747" w:rsidRPr="0075704F" w:rsidRDefault="0075704F" w:rsidP="0075704F">
      <w:pPr>
        <w:spacing w:line="276" w:lineRule="auto"/>
        <w:ind w:left="715" w:firstLine="0"/>
      </w:pPr>
      <w:r w:rsidRPr="0075704F">
        <w:t>Враховуючи викладене, Замовнико</w:t>
      </w:r>
      <w:r w:rsidRPr="0075704F">
        <w:t xml:space="preserve">м частково задоволено вимогу Скаржника. </w:t>
      </w:r>
    </w:p>
    <w:p w:rsidR="004B3747" w:rsidRPr="0075704F" w:rsidRDefault="0075704F" w:rsidP="0075704F">
      <w:pPr>
        <w:spacing w:after="16" w:line="276" w:lineRule="auto"/>
        <w:ind w:left="725" w:hanging="10"/>
        <w:jc w:val="left"/>
      </w:pPr>
      <w:r w:rsidRPr="0075704F">
        <w:rPr>
          <w:b/>
          <w:u w:val="single" w:color="000000"/>
        </w:rPr>
        <w:t>Встановлено з пояснень управління моніторингу та вдосконалення закупівель:</w:t>
      </w:r>
      <w:r w:rsidRPr="0075704F">
        <w:rPr>
          <w:b/>
        </w:rPr>
        <w:t xml:space="preserve"> </w:t>
      </w:r>
      <w:r w:rsidRPr="0075704F">
        <w:t xml:space="preserve"> </w:t>
      </w:r>
    </w:p>
    <w:p w:rsidR="004B3747" w:rsidRPr="0075704F" w:rsidRDefault="0075704F" w:rsidP="0075704F">
      <w:pPr>
        <w:spacing w:line="276" w:lineRule="auto"/>
        <w:ind w:left="-5"/>
      </w:pPr>
      <w:r w:rsidRPr="0075704F">
        <w:t>При підготовці конкурсної документації Замовником не було використано типову конкурсну документацію розроблену Управлінням саме для закупі</w:t>
      </w:r>
      <w:r w:rsidRPr="0075704F">
        <w:t xml:space="preserve">вель складного технологічного обладнання. </w:t>
      </w:r>
    </w:p>
    <w:p w:rsidR="004B3747" w:rsidRPr="0075704F" w:rsidRDefault="0075704F" w:rsidP="0075704F">
      <w:pPr>
        <w:spacing w:line="276" w:lineRule="auto"/>
        <w:ind w:left="-5"/>
      </w:pPr>
      <w:r w:rsidRPr="0075704F">
        <w:t xml:space="preserve"> Окрім цього, після детального вивчення конкурсної документації ПАТ «ДІТЦ «Контакт» виявлено наступні невідповідності: </w:t>
      </w:r>
    </w:p>
    <w:p w:rsidR="004B3747" w:rsidRPr="0075704F" w:rsidRDefault="0075704F" w:rsidP="0075704F">
      <w:pPr>
        <w:numPr>
          <w:ilvl w:val="0"/>
          <w:numId w:val="4"/>
        </w:numPr>
        <w:spacing w:line="276" w:lineRule="auto"/>
        <w:ind w:firstLine="0"/>
      </w:pPr>
      <w:r w:rsidRPr="0075704F">
        <w:t xml:space="preserve">відсутні переклад паспорту обладнання; </w:t>
      </w:r>
    </w:p>
    <w:p w:rsidR="004B3747" w:rsidRPr="0075704F" w:rsidRDefault="0075704F" w:rsidP="0075704F">
      <w:pPr>
        <w:numPr>
          <w:ilvl w:val="0"/>
          <w:numId w:val="4"/>
        </w:numPr>
        <w:spacing w:line="276" w:lineRule="auto"/>
        <w:ind w:firstLine="0"/>
      </w:pPr>
      <w:r w:rsidRPr="0075704F">
        <w:t xml:space="preserve">не відповідають встановленим параметрам показники: </w:t>
      </w:r>
      <w:r w:rsidRPr="0075704F">
        <w:t xml:space="preserve">найбільший діаметр оброблювальної заготовки (над станиною та супортом), найбільша довжина виробу, межі шагів різьб (метричних, модульних); </w:t>
      </w:r>
    </w:p>
    <w:p w:rsidR="004B3747" w:rsidRPr="0075704F" w:rsidRDefault="0075704F" w:rsidP="0075704F">
      <w:pPr>
        <w:numPr>
          <w:ilvl w:val="0"/>
          <w:numId w:val="4"/>
        </w:numPr>
        <w:spacing w:line="276" w:lineRule="auto"/>
        <w:ind w:firstLine="0"/>
      </w:pPr>
      <w:r w:rsidRPr="0075704F">
        <w:t xml:space="preserve">відсутня інформація щодо наявності у товариства електромонтера та сервісних інженерів.   </w:t>
      </w:r>
      <w:r w:rsidRPr="0075704F">
        <w:rPr>
          <w:b/>
          <w:u w:val="single" w:color="000000"/>
        </w:rPr>
        <w:t>Запропоновано</w:t>
      </w:r>
      <w:r w:rsidRPr="0075704F">
        <w:t>: враховуючи н</w:t>
      </w:r>
      <w:r w:rsidRPr="0075704F">
        <w:t xml:space="preserve">аявну інформацію, </w:t>
      </w:r>
      <w:r w:rsidRPr="0075704F">
        <w:rPr>
          <w:b/>
        </w:rPr>
        <w:t xml:space="preserve">задовольнити </w:t>
      </w:r>
      <w:r w:rsidRPr="0075704F">
        <w:t>скаргу ТОВ «СП «</w:t>
      </w:r>
      <w:proofErr w:type="spellStart"/>
      <w:r w:rsidRPr="0075704F">
        <w:t>СтанКомплект</w:t>
      </w:r>
      <w:proofErr w:type="spellEnd"/>
      <w:r w:rsidRPr="0075704F">
        <w:t xml:space="preserve">». </w:t>
      </w:r>
    </w:p>
    <w:p w:rsidR="004B3747" w:rsidRPr="0075704F" w:rsidRDefault="0075704F" w:rsidP="0075704F">
      <w:pPr>
        <w:spacing w:line="276" w:lineRule="auto"/>
        <w:ind w:left="-5"/>
      </w:pPr>
      <w:r w:rsidRPr="0075704F">
        <w:t xml:space="preserve">Секретарю Колегії з розгляду скарг Концерну підготувати та направити до Замовника та Скаржника результати розгляду скарги. </w:t>
      </w:r>
      <w:r w:rsidRPr="0075704F">
        <w:rPr>
          <w:b/>
        </w:rPr>
        <w:t xml:space="preserve"> </w:t>
      </w:r>
    </w:p>
    <w:p w:rsidR="004B3747" w:rsidRPr="0075704F" w:rsidRDefault="0075704F" w:rsidP="0075704F">
      <w:pPr>
        <w:spacing w:line="276" w:lineRule="auto"/>
        <w:ind w:left="-5" w:firstLine="0"/>
      </w:pPr>
      <w:r w:rsidRPr="0075704F">
        <w:rPr>
          <w:i/>
          <w:u w:val="single" w:color="000000"/>
        </w:rPr>
        <w:t>Замовнику</w:t>
      </w:r>
      <w:r w:rsidRPr="0075704F">
        <w:rPr>
          <w:u w:val="single" w:color="000000"/>
        </w:rPr>
        <w:t>:</w:t>
      </w:r>
      <w:r w:rsidRPr="0075704F">
        <w:t xml:space="preserve"> скаргу задоволено. При розгляді скарги встановлено, що за</w:t>
      </w:r>
      <w:r w:rsidRPr="0075704F">
        <w:t xml:space="preserve">пропоноване             </w:t>
      </w:r>
      <w:r>
        <w:t xml:space="preserve">                </w:t>
      </w:r>
      <w:bookmarkStart w:id="0" w:name="_GoBack"/>
      <w:bookmarkEnd w:id="0"/>
      <w:r w:rsidRPr="0075704F">
        <w:t xml:space="preserve">  ПАТ «ДІТЦ «Контакт» обладнання не відповідає вимогам конкурсної документації, а саме виявлено невідповідність до технічного завдання та невиконання кваліфікаційного критерію стосовно працівників певної кваліфікації. </w:t>
      </w:r>
    </w:p>
    <w:p w:rsidR="004B3747" w:rsidRPr="0075704F" w:rsidRDefault="0075704F" w:rsidP="0075704F">
      <w:pPr>
        <w:spacing w:line="276" w:lineRule="auto"/>
        <w:ind w:left="-5" w:firstLine="0"/>
      </w:pPr>
      <w:r w:rsidRPr="0075704F">
        <w:t xml:space="preserve"> Окрім цього,</w:t>
      </w:r>
      <w:r w:rsidRPr="0075704F">
        <w:t xml:space="preserve"> при розгляді скарги стало відомо, що деякі технічні параметри обладнання не впливають на технологічний процес та є неактуальними для Замовника. </w:t>
      </w:r>
    </w:p>
    <w:p w:rsidR="0075704F" w:rsidRDefault="0075704F" w:rsidP="0075704F">
      <w:pPr>
        <w:spacing w:after="3" w:line="276" w:lineRule="auto"/>
        <w:ind w:left="-5" w:firstLine="695"/>
        <w:rPr>
          <w:i/>
        </w:rPr>
      </w:pPr>
      <w:r w:rsidRPr="0075704F">
        <w:t xml:space="preserve">Враховуючи викладене, Колегія вважає за доцільне розглянути можливість скасування </w:t>
      </w:r>
      <w:r w:rsidRPr="0075704F">
        <w:t>оскаржуваного конкурсу та до</w:t>
      </w:r>
      <w:r w:rsidRPr="0075704F">
        <w:t xml:space="preserve">опрацювання технічного завдання конкурсної документації. Після чого оголосити конкурс наново. При підготовці нового конкурсу прийняти до уваги типову конкурсну документацію, яку розроблено Управлінням саме для закупівлі складного технологічного обладнання </w:t>
      </w:r>
      <w:r w:rsidRPr="0075704F">
        <w:t xml:space="preserve">та відповідно до 10.25 Порядку закупівель підприємствами Концерну, затвердженого наказом від 29.11.2019 №333 (у редакції наказу від 25.02.2021 №76 зі змінами, далі – </w:t>
      </w:r>
      <w:proofErr w:type="spellStart"/>
      <w:r w:rsidRPr="0075704F">
        <w:t>Порядко</w:t>
      </w:r>
      <w:proofErr w:type="spellEnd"/>
      <w:r w:rsidRPr="0075704F">
        <w:t xml:space="preserve"> закупівель) </w:t>
      </w:r>
      <w:r w:rsidRPr="0075704F">
        <w:rPr>
          <w:i/>
        </w:rPr>
        <w:t>«у випадку, якщо процедура закупівлі проводиться повторно, а в поперед</w:t>
      </w:r>
      <w:r w:rsidRPr="0075704F">
        <w:rPr>
          <w:i/>
        </w:rPr>
        <w:t>ньо оголошеному тендерів відбулося розкриття пропозицій Учасників, Відповідальна особа визначає рівень Початкової ставки з урахування пропозицій, отриманих в по</w:t>
      </w:r>
      <w:r>
        <w:rPr>
          <w:i/>
        </w:rPr>
        <w:t xml:space="preserve">передній процедурі закупівлі». </w:t>
      </w:r>
    </w:p>
    <w:p w:rsidR="004B3747" w:rsidRPr="0075704F" w:rsidRDefault="0075704F" w:rsidP="0075704F">
      <w:pPr>
        <w:spacing w:after="3" w:line="276" w:lineRule="auto"/>
        <w:ind w:left="-5" w:firstLine="695"/>
      </w:pPr>
      <w:r w:rsidRPr="0075704F">
        <w:t>Наголошуємо, що відповідно до п. 10.15 та 10.16 Порядку закупів</w:t>
      </w:r>
      <w:r w:rsidRPr="0075704F">
        <w:t>ель «</w:t>
      </w:r>
      <w:r w:rsidRPr="0075704F">
        <w:rPr>
          <w:i/>
        </w:rPr>
        <w:t>під час формування специфікації, технічного завдання та вимог до ТРП Замовник має визначати такі вимоги, керуючись виключно виробничими потребами, для забезпечення яких запланована дана закупівля. Не допускається визначення вимог або характеристик, як</w:t>
      </w:r>
      <w:r w:rsidRPr="0075704F">
        <w:rPr>
          <w:i/>
        </w:rPr>
        <w:t xml:space="preserve">і окремо чи в сукупності необґрунтовано звужують конкуренцію та яким відповідає обмежене коло потенційних Учасників Закупівлі» </w:t>
      </w:r>
      <w:r w:rsidRPr="0075704F">
        <w:t>та</w:t>
      </w:r>
      <w:r w:rsidRPr="0075704F">
        <w:rPr>
          <w:i/>
        </w:rPr>
        <w:t xml:space="preserve"> «під час формування специфікації, технічного завдання та вимог до ТРП Замовнику слід утримуватись від визначення персоналізова</w:t>
      </w:r>
      <w:r w:rsidRPr="0075704F">
        <w:rPr>
          <w:i/>
        </w:rPr>
        <w:t xml:space="preserve">них та надмірно деталізованих характеристик, які не мають впливу на забезпечення виробничих потреб». </w:t>
      </w:r>
    </w:p>
    <w:p w:rsidR="004B3747" w:rsidRPr="0075704F" w:rsidRDefault="0075704F" w:rsidP="0075704F">
      <w:pPr>
        <w:spacing w:line="276" w:lineRule="auto"/>
        <w:ind w:left="-5"/>
      </w:pPr>
      <w:r w:rsidRPr="0075704F">
        <w:t xml:space="preserve">Інформацію щодо виконання рішення Колегії з розгляду скарг надати до </w:t>
      </w:r>
      <w:r w:rsidRPr="0075704F">
        <w:rPr>
          <w:b/>
        </w:rPr>
        <w:t>05.08.2021</w:t>
      </w:r>
      <w:r w:rsidRPr="0075704F">
        <w:t xml:space="preserve"> на електронну адресу </w:t>
      </w:r>
      <w:r w:rsidRPr="0075704F">
        <w:rPr>
          <w:color w:val="0000FF"/>
          <w:u w:val="single" w:color="0000FF"/>
        </w:rPr>
        <w:t>control@ukroboronprom.com</w:t>
      </w:r>
      <w:r w:rsidRPr="0075704F">
        <w:t xml:space="preserve">.   </w:t>
      </w:r>
    </w:p>
    <w:p w:rsidR="004B3747" w:rsidRPr="0075704F" w:rsidRDefault="0075704F" w:rsidP="0075704F">
      <w:pPr>
        <w:spacing w:after="143" w:line="276" w:lineRule="auto"/>
        <w:ind w:firstLine="0"/>
        <w:jc w:val="left"/>
      </w:pPr>
      <w:r w:rsidRPr="0075704F">
        <w:t xml:space="preserve"> </w:t>
      </w:r>
    </w:p>
    <w:p w:rsidR="004B3747" w:rsidRPr="0075704F" w:rsidRDefault="0075704F" w:rsidP="0075704F">
      <w:pPr>
        <w:spacing w:line="276" w:lineRule="auto"/>
        <w:ind w:left="-5" w:firstLine="0"/>
      </w:pPr>
      <w:r w:rsidRPr="0075704F">
        <w:rPr>
          <w:i/>
          <w:u w:val="single" w:color="000000"/>
        </w:rPr>
        <w:lastRenderedPageBreak/>
        <w:t>Скаржнику:</w:t>
      </w:r>
      <w:r w:rsidRPr="0075704F">
        <w:t xml:space="preserve"> скаргу зад</w:t>
      </w:r>
      <w:r w:rsidRPr="0075704F">
        <w:t xml:space="preserve">оволено. При розгляді скарги виявлено, що конкурсна документація           ПАТ «ДІТЦ «Контакт» не виконано вимоги конкурсної документації Замовника.  </w:t>
      </w:r>
    </w:p>
    <w:p w:rsidR="004B3747" w:rsidRPr="0075704F" w:rsidRDefault="0075704F" w:rsidP="0075704F">
      <w:pPr>
        <w:spacing w:line="276" w:lineRule="auto"/>
        <w:ind w:left="-5" w:firstLine="0"/>
      </w:pPr>
      <w:r>
        <w:t xml:space="preserve"> </w:t>
      </w:r>
      <w:r>
        <w:tab/>
      </w:r>
      <w:r w:rsidRPr="0075704F">
        <w:t>Окрім цього, при розгляді скарги стало відомо, що деякі технічні параметри обладнання не впливають на т</w:t>
      </w:r>
      <w:r w:rsidRPr="0075704F">
        <w:t xml:space="preserve">ехнологічний процес та є неактуальними для Замовника. </w:t>
      </w:r>
    </w:p>
    <w:p w:rsidR="0075704F" w:rsidRPr="0075704F" w:rsidRDefault="0075704F" w:rsidP="0075704F">
      <w:pPr>
        <w:spacing w:line="276" w:lineRule="auto"/>
        <w:ind w:left="-5" w:firstLine="0"/>
      </w:pPr>
      <w:r w:rsidRPr="0075704F">
        <w:t xml:space="preserve"> Враховуючи викладене, Замовником буде розглянути можливість скасування оскаржуваного конкурсу та доопрацьовано технічне завдання. Після чого буде оголошено конкурс наново.    </w:t>
      </w:r>
    </w:p>
    <w:p w:rsidR="004B3747" w:rsidRPr="0075704F" w:rsidRDefault="0075704F" w:rsidP="0075704F">
      <w:pPr>
        <w:spacing w:line="276" w:lineRule="auto"/>
        <w:ind w:left="-5" w:firstLine="0"/>
      </w:pPr>
      <w:r w:rsidRPr="0075704F">
        <w:rPr>
          <w:b/>
          <w:i/>
        </w:rPr>
        <w:t xml:space="preserve">Щодо даного питання, винесеного на голосування, члени Колегії, проголосували одноголосно «ЗА». </w:t>
      </w:r>
    </w:p>
    <w:p w:rsidR="0075704F" w:rsidRDefault="0075704F" w:rsidP="0075704F">
      <w:pPr>
        <w:spacing w:after="381" w:line="259" w:lineRule="auto"/>
        <w:ind w:left="3853" w:firstLine="0"/>
        <w:jc w:val="center"/>
      </w:pPr>
      <w:r>
        <w:rPr>
          <w:b/>
        </w:rPr>
        <w:t xml:space="preserve"> </w:t>
      </w:r>
      <w:r>
        <w:rPr>
          <w:sz w:val="12"/>
        </w:rPr>
        <w:t>ДК УКРОБОРОНПРОМ</w:t>
      </w:r>
    </w:p>
    <w:p w:rsidR="0075704F" w:rsidRDefault="0075704F" w:rsidP="0075704F">
      <w:pPr>
        <w:spacing w:after="0" w:line="259" w:lineRule="auto"/>
        <w:ind w:left="3853" w:firstLine="0"/>
        <w:jc w:val="center"/>
      </w:pPr>
      <w:r>
        <w:rPr>
          <w:rFonts w:ascii="Code 128" w:eastAsia="Code 128" w:hAnsi="Code 128" w:cs="Code 128"/>
          <w:sz w:val="48"/>
        </w:rPr>
        <w:t></w:t>
      </w:r>
      <w:r>
        <w:rPr>
          <w:rFonts w:ascii="Code 128" w:eastAsia="Code 128" w:hAnsi="Code 128" w:cs="Code 128"/>
          <w:sz w:val="48"/>
        </w:rPr>
        <w:t></w:t>
      </w:r>
      <w:r>
        <w:rPr>
          <w:rFonts w:ascii="Code 128" w:eastAsia="Code 128" w:hAnsi="Code 128" w:cs="Code 128"/>
          <w:sz w:val="48"/>
        </w:rPr>
        <w:t></w:t>
      </w:r>
      <w:r>
        <w:rPr>
          <w:rFonts w:ascii="Code 128" w:eastAsia="Code 128" w:hAnsi="Code 128" w:cs="Code 128"/>
          <w:sz w:val="48"/>
        </w:rPr>
        <w:t></w:t>
      </w:r>
      <w:r>
        <w:rPr>
          <w:rFonts w:ascii="Code 128" w:eastAsia="Code 128" w:hAnsi="Code 128" w:cs="Code 128"/>
          <w:sz w:val="48"/>
        </w:rPr>
        <w:t></w:t>
      </w:r>
      <w:r>
        <w:rPr>
          <w:rFonts w:ascii="Code 128" w:eastAsia="Code 128" w:hAnsi="Code 128" w:cs="Code 128"/>
          <w:sz w:val="48"/>
        </w:rPr>
        <w:t></w:t>
      </w:r>
      <w:r>
        <w:rPr>
          <w:rFonts w:ascii="Code 128" w:eastAsia="Code 128" w:hAnsi="Code 128" w:cs="Code 128"/>
          <w:sz w:val="48"/>
        </w:rPr>
        <w:t></w:t>
      </w:r>
      <w:r>
        <w:rPr>
          <w:rFonts w:ascii="Code 128" w:eastAsia="Code 128" w:hAnsi="Code 128" w:cs="Code 128"/>
          <w:sz w:val="48"/>
        </w:rPr>
        <w:t></w:t>
      </w:r>
      <w:r>
        <w:rPr>
          <w:rFonts w:ascii="Code 128" w:eastAsia="Code 128" w:hAnsi="Code 128" w:cs="Code 128"/>
          <w:sz w:val="48"/>
        </w:rPr>
        <w:t></w:t>
      </w:r>
      <w:r>
        <w:rPr>
          <w:rFonts w:ascii="Code 128" w:eastAsia="Code 128" w:hAnsi="Code 128" w:cs="Code 128"/>
          <w:sz w:val="48"/>
        </w:rPr>
        <w:t></w:t>
      </w:r>
    </w:p>
    <w:p w:rsidR="0075704F" w:rsidRDefault="0075704F" w:rsidP="0075704F">
      <w:pPr>
        <w:spacing w:after="0" w:line="259" w:lineRule="auto"/>
        <w:ind w:left="3853" w:firstLine="0"/>
        <w:jc w:val="center"/>
      </w:pPr>
      <w:r>
        <w:rPr>
          <w:sz w:val="16"/>
        </w:rPr>
        <w:t>3095693</w:t>
      </w:r>
    </w:p>
    <w:p w:rsidR="004B3747" w:rsidRDefault="004B3747" w:rsidP="0075704F">
      <w:pPr>
        <w:spacing w:after="381" w:line="259" w:lineRule="auto"/>
        <w:ind w:left="3853" w:firstLine="0"/>
        <w:jc w:val="center"/>
      </w:pPr>
    </w:p>
    <w:sectPr w:rsidR="004B3747">
      <w:footerReference w:type="even" r:id="rId8"/>
      <w:footerReference w:type="default" r:id="rId9"/>
      <w:footerReference w:type="first" r:id="rId10"/>
      <w:pgSz w:w="11906" w:h="16838"/>
      <w:pgMar w:top="1181" w:right="786" w:bottom="168" w:left="1695" w:header="708"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5704F">
      <w:pPr>
        <w:spacing w:after="0" w:line="240" w:lineRule="auto"/>
      </w:pPr>
      <w:r>
        <w:separator/>
      </w:r>
    </w:p>
  </w:endnote>
  <w:endnote w:type="continuationSeparator" w:id="0">
    <w:p w:rsidR="00000000" w:rsidRDefault="00757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de 128">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747" w:rsidRDefault="0075704F">
    <w:pPr>
      <w:spacing w:after="0" w:line="259" w:lineRule="auto"/>
      <w:ind w:left="0" w:right="910" w:firstLine="0"/>
      <w:jc w:val="center"/>
    </w:pPr>
    <w:r>
      <w:t>№ 28 від 26.07.2021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747" w:rsidRDefault="0075704F">
    <w:pPr>
      <w:spacing w:after="0" w:line="259" w:lineRule="auto"/>
      <w:ind w:left="0" w:right="910" w:firstLine="0"/>
      <w:jc w:val="center"/>
    </w:pPr>
    <w:r>
      <w:t>№ 28 від 26.07.2021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747" w:rsidRDefault="0075704F">
    <w:pPr>
      <w:spacing w:after="0" w:line="259" w:lineRule="auto"/>
      <w:ind w:left="0" w:right="910" w:firstLine="0"/>
      <w:jc w:val="center"/>
    </w:pPr>
    <w:r>
      <w:t>№ 28 від 26.07.2021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5704F">
      <w:pPr>
        <w:spacing w:after="0" w:line="240" w:lineRule="auto"/>
      </w:pPr>
      <w:r>
        <w:separator/>
      </w:r>
    </w:p>
  </w:footnote>
  <w:footnote w:type="continuationSeparator" w:id="0">
    <w:p w:rsidR="00000000" w:rsidRDefault="00757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B39"/>
    <w:multiLevelType w:val="hybridMultilevel"/>
    <w:tmpl w:val="15142238"/>
    <w:lvl w:ilvl="0" w:tplc="3EE2CA20">
      <w:start w:val="1"/>
      <w:numFmt w:val="bullet"/>
      <w:lvlText w:val="-"/>
      <w:lvlJc w:val="left"/>
      <w:pPr>
        <w:ind w:left="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14A76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365FD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58E6B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96CEF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AAC84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2C937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307E5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D61C3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375D53"/>
    <w:multiLevelType w:val="hybridMultilevel"/>
    <w:tmpl w:val="00F8A562"/>
    <w:lvl w:ilvl="0" w:tplc="0A60475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B20EB8">
      <w:start w:val="1"/>
      <w:numFmt w:val="bullet"/>
      <w:lvlText w:val="o"/>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5E9E9C">
      <w:start w:val="1"/>
      <w:numFmt w:val="bullet"/>
      <w:lvlText w:val="▪"/>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96D59E">
      <w:start w:val="1"/>
      <w:numFmt w:val="bullet"/>
      <w:lvlText w:val="•"/>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D4378E">
      <w:start w:val="1"/>
      <w:numFmt w:val="bullet"/>
      <w:lvlText w:val="o"/>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38EECA">
      <w:start w:val="1"/>
      <w:numFmt w:val="bullet"/>
      <w:lvlText w:val="▪"/>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A2540A">
      <w:start w:val="1"/>
      <w:numFmt w:val="bullet"/>
      <w:lvlText w:val="•"/>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C2936A">
      <w:start w:val="1"/>
      <w:numFmt w:val="bullet"/>
      <w:lvlText w:val="o"/>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FAC140">
      <w:start w:val="1"/>
      <w:numFmt w:val="bullet"/>
      <w:lvlText w:val="▪"/>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1D7901"/>
    <w:multiLevelType w:val="hybridMultilevel"/>
    <w:tmpl w:val="FBBAAECA"/>
    <w:lvl w:ilvl="0" w:tplc="01B4954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14FDA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9A09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4696B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F03C5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F8B35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20728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4E296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30F31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6817C93"/>
    <w:multiLevelType w:val="hybridMultilevel"/>
    <w:tmpl w:val="A8C415AE"/>
    <w:lvl w:ilvl="0" w:tplc="F334D04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A46832">
      <w:start w:val="1"/>
      <w:numFmt w:val="bullet"/>
      <w:lvlText w:val="o"/>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F2517E">
      <w:start w:val="1"/>
      <w:numFmt w:val="bullet"/>
      <w:lvlText w:val="▪"/>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1CB458">
      <w:start w:val="1"/>
      <w:numFmt w:val="bullet"/>
      <w:lvlText w:val="•"/>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1462B6">
      <w:start w:val="1"/>
      <w:numFmt w:val="bullet"/>
      <w:lvlText w:val="o"/>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70BEFE">
      <w:start w:val="1"/>
      <w:numFmt w:val="bullet"/>
      <w:lvlText w:val="▪"/>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367018">
      <w:start w:val="1"/>
      <w:numFmt w:val="bullet"/>
      <w:lvlText w:val="•"/>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32C724">
      <w:start w:val="1"/>
      <w:numFmt w:val="bullet"/>
      <w:lvlText w:val="o"/>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909442">
      <w:start w:val="1"/>
      <w:numFmt w:val="bullet"/>
      <w:lvlText w:val="▪"/>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747"/>
    <w:rsid w:val="004B3747"/>
    <w:rsid w:val="007570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C1AB"/>
  <w15:docId w15:val="{F3ED2257-9E65-4262-BD0A-2DEFA951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9" w:line="303" w:lineRule="auto"/>
      <w:ind w:left="7" w:firstLine="698"/>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4054</Words>
  <Characters>2311</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Цюпко Інна Володимирівна</dc:creator>
  <cp:keywords/>
  <cp:lastModifiedBy>Цюпко Інна Володимирівна</cp:lastModifiedBy>
  <cp:revision>2</cp:revision>
  <dcterms:created xsi:type="dcterms:W3CDTF">2021-07-27T07:12:00Z</dcterms:created>
  <dcterms:modified xsi:type="dcterms:W3CDTF">2021-07-27T07:12:00Z</dcterms:modified>
</cp:coreProperties>
</file>