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EC" w:rsidRDefault="005A5D5E">
      <w:pPr>
        <w:spacing w:after="61" w:line="259" w:lineRule="auto"/>
        <w:ind w:left="10" w:right="4" w:hanging="10"/>
        <w:jc w:val="center"/>
      </w:pPr>
      <w:r>
        <w:rPr>
          <w:b/>
        </w:rPr>
        <w:t xml:space="preserve">ВИТЯГ з </w:t>
      </w:r>
      <w:r>
        <w:rPr>
          <w:b/>
        </w:rPr>
        <w:t>Протоколу</w:t>
      </w:r>
      <w:r>
        <w:rPr>
          <w:b/>
        </w:rPr>
        <w:t xml:space="preserve"> № 39 </w:t>
      </w:r>
    </w:p>
    <w:p w:rsidR="004679EC" w:rsidRDefault="005A5D5E">
      <w:pPr>
        <w:spacing w:after="61" w:line="259" w:lineRule="auto"/>
        <w:ind w:left="10" w:right="9" w:hanging="10"/>
        <w:jc w:val="center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4679EC" w:rsidRDefault="005A5D5E">
      <w:pPr>
        <w:spacing w:after="14" w:line="259" w:lineRule="auto"/>
        <w:ind w:left="10" w:right="4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:rsidR="004679EC" w:rsidRDefault="005A5D5E">
      <w:pPr>
        <w:spacing w:after="36" w:line="259" w:lineRule="auto"/>
        <w:ind w:left="51" w:firstLine="0"/>
        <w:jc w:val="center"/>
      </w:pPr>
      <w:r>
        <w:t xml:space="preserve"> </w:t>
      </w:r>
    </w:p>
    <w:p w:rsidR="004679EC" w:rsidRDefault="005A5D5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361"/>
        </w:tabs>
        <w:ind w:left="-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"05" листопада 2021 р. </w:t>
      </w:r>
    </w:p>
    <w:p w:rsidR="004679EC" w:rsidRDefault="005A5D5E">
      <w:pPr>
        <w:spacing w:after="60" w:line="259" w:lineRule="auto"/>
        <w:ind w:firstLine="0"/>
        <w:jc w:val="left"/>
      </w:pPr>
      <w:r>
        <w:rPr>
          <w:i/>
        </w:rPr>
        <w:t xml:space="preserve"> </w:t>
      </w:r>
    </w:p>
    <w:p w:rsidR="004679EC" w:rsidRDefault="004679EC">
      <w:pPr>
        <w:spacing w:after="60" w:line="259" w:lineRule="auto"/>
        <w:ind w:firstLine="0"/>
        <w:jc w:val="left"/>
      </w:pPr>
    </w:p>
    <w:p w:rsidR="004679EC" w:rsidRDefault="005A5D5E">
      <w:pPr>
        <w:spacing w:after="62" w:line="259" w:lineRule="auto"/>
        <w:ind w:left="-5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4679EC" w:rsidRDefault="004679EC">
      <w:pPr>
        <w:numPr>
          <w:ilvl w:val="0"/>
          <w:numId w:val="2"/>
        </w:numPr>
        <w:ind w:right="38" w:firstLine="0"/>
      </w:pPr>
    </w:p>
    <w:p w:rsidR="004679EC" w:rsidRDefault="004679EC">
      <w:pPr>
        <w:numPr>
          <w:ilvl w:val="0"/>
          <w:numId w:val="2"/>
        </w:numPr>
        <w:ind w:right="38" w:firstLine="0"/>
      </w:pPr>
    </w:p>
    <w:p w:rsidR="004679EC" w:rsidRDefault="005A5D5E" w:rsidP="005A5D5E">
      <w:pPr>
        <w:numPr>
          <w:ilvl w:val="0"/>
          <w:numId w:val="2"/>
        </w:numPr>
        <w:ind w:right="38" w:firstLine="0"/>
      </w:pPr>
      <w:r>
        <w:t xml:space="preserve">Розгляд скарги ТОВ "Конструкторське бюро трубопровідної арматури і спеціальних робіт" щодо неправомірного визначення переможця конкурсу ДП "ЗМКБ "Прогрес" ім. </w:t>
      </w:r>
      <w:proofErr w:type="spellStart"/>
      <w:r>
        <w:t>ак</w:t>
      </w:r>
      <w:proofErr w:type="spellEnd"/>
      <w:r>
        <w:t>. О.Г. Івченка" у закупівлі електроприводів та електроклапана (UA-2021-09-16-00</w:t>
      </w:r>
      <w:r>
        <w:t xml:space="preserve">0076-b), очікуваною вартістю 409 424,00 грн без ПДВ. </w:t>
      </w:r>
      <w:r>
        <w:rPr>
          <w:b/>
        </w:rPr>
        <w:t xml:space="preserve"> </w:t>
      </w:r>
      <w:r>
        <w:t xml:space="preserve"> </w:t>
      </w:r>
      <w:r w:rsidRPr="005A5D5E">
        <w:rPr>
          <w:b/>
          <w:i/>
        </w:rPr>
        <w:t xml:space="preserve"> </w:t>
      </w:r>
    </w:p>
    <w:p w:rsidR="004679EC" w:rsidRDefault="005A5D5E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:rsidR="004679EC" w:rsidRDefault="005A5D5E">
      <w:pPr>
        <w:spacing w:after="0" w:line="259" w:lineRule="auto"/>
        <w:ind w:left="-5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4679EC" w:rsidRDefault="005A5D5E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:rsidR="004679EC" w:rsidRDefault="005A5D5E">
      <w:pPr>
        <w:spacing w:after="14" w:line="259" w:lineRule="auto"/>
        <w:ind w:left="-5" w:hanging="10"/>
        <w:jc w:val="left"/>
      </w:pPr>
      <w:r>
        <w:rPr>
          <w:b/>
          <w:i/>
          <w:u w:val="single" w:color="000000"/>
        </w:rPr>
        <w:t>Щодо третього питання порядку денного:</w:t>
      </w:r>
      <w:r>
        <w:rPr>
          <w:b/>
          <w:i/>
        </w:rPr>
        <w:t xml:space="preserve"> </w:t>
      </w:r>
    </w:p>
    <w:p w:rsidR="004679EC" w:rsidRDefault="005A5D5E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4679EC">
        <w:trPr>
          <w:trHeight w:val="12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Найменування суб’єкта оскарження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ТОВ </w:t>
            </w:r>
            <w:r>
              <w:rPr>
                <w:sz w:val="24"/>
              </w:rPr>
              <w:tab/>
              <w:t>"</w:t>
            </w:r>
            <w:r>
              <w:rPr>
                <w:sz w:val="24"/>
              </w:rPr>
              <w:t xml:space="preserve">Конструкторське </w:t>
            </w:r>
            <w:r>
              <w:rPr>
                <w:sz w:val="24"/>
              </w:rPr>
              <w:tab/>
              <w:t xml:space="preserve">бюро трубопровідної арматури і спеціальних робіт" </w:t>
            </w:r>
            <w:r>
              <w:t xml:space="preserve">(код </w:t>
            </w:r>
            <w:r>
              <w:tab/>
              <w:t xml:space="preserve">ЄДРПОУ </w:t>
            </w:r>
            <w:r>
              <w:tab/>
              <w:t xml:space="preserve">36736275, далі </w:t>
            </w:r>
            <w:r>
              <w:tab/>
              <w:t xml:space="preserve">– Скаржник) </w:t>
            </w:r>
          </w:p>
        </w:tc>
      </w:tr>
      <w:tr w:rsidR="004679EC">
        <w:trPr>
          <w:trHeight w:val="32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Номер процедури закупівлі, яка оскаржується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UA-2021-09-16-000076-b</w:t>
            </w:r>
            <w:r>
              <w:rPr>
                <w:b/>
                <w:i/>
              </w:rPr>
              <w:t xml:space="preserve"> </w:t>
            </w:r>
          </w:p>
        </w:tc>
      </w:tr>
      <w:tr w:rsidR="004679EC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Предмет закупівлі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Електроприводи та електроклапана </w:t>
            </w:r>
          </w:p>
        </w:tc>
      </w:tr>
      <w:tr w:rsidR="004679EC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Очікувана вартість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409 424,00 грн без ПДВ </w:t>
            </w:r>
          </w:p>
        </w:tc>
      </w:tr>
      <w:tr w:rsidR="004679EC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Пропозиції розглянуті </w:t>
            </w:r>
          </w:p>
        </w:tc>
      </w:tr>
      <w:tr w:rsidR="004679EC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Дата та час подання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27.10.2021 о14:05 </w:t>
            </w:r>
          </w:p>
        </w:tc>
      </w:tr>
      <w:tr w:rsidR="004679EC">
        <w:trPr>
          <w:trHeight w:val="61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Найменування замовника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43" w:line="259" w:lineRule="auto"/>
              <w:ind w:firstLine="0"/>
              <w:jc w:val="left"/>
            </w:pPr>
            <w:r>
              <w:rPr>
                <w:sz w:val="24"/>
              </w:rPr>
              <w:t xml:space="preserve">ДП "ЗМКБ «Прогрес" ім.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. О.Г. Івченка" </w:t>
            </w:r>
          </w:p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>(далі – Замовник)</w:t>
            </w:r>
            <w:r>
              <w:rPr>
                <w:b/>
                <w:i/>
              </w:rPr>
              <w:t xml:space="preserve"> </w:t>
            </w:r>
          </w:p>
        </w:tc>
      </w:tr>
      <w:tr w:rsidR="004679EC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Причина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9EC" w:rsidRDefault="005A5D5E">
            <w:pPr>
              <w:spacing w:after="0" w:line="259" w:lineRule="auto"/>
              <w:ind w:firstLine="0"/>
              <w:jc w:val="left"/>
            </w:pPr>
            <w:r>
              <w:t xml:space="preserve">На рішення замовника </w:t>
            </w:r>
          </w:p>
        </w:tc>
      </w:tr>
    </w:tbl>
    <w:p w:rsidR="004679EC" w:rsidRDefault="005A5D5E">
      <w:pPr>
        <w:spacing w:after="5" w:line="259" w:lineRule="auto"/>
        <w:ind w:firstLine="0"/>
        <w:jc w:val="left"/>
      </w:pPr>
      <w:r>
        <w:rPr>
          <w:b/>
        </w:rPr>
        <w:t xml:space="preserve"> </w:t>
      </w:r>
    </w:p>
    <w:p w:rsidR="004679EC" w:rsidRDefault="005A5D5E">
      <w:pPr>
        <w:spacing w:after="0" w:line="259" w:lineRule="auto"/>
        <w:ind w:left="-1" w:right="1948" w:firstLine="0"/>
        <w:jc w:val="center"/>
      </w:pPr>
      <w:r>
        <w:rPr>
          <w:noProof/>
        </w:rPr>
        <w:drawing>
          <wp:inline distT="0" distB="0" distL="0" distR="0">
            <wp:extent cx="4672331" cy="2734945"/>
            <wp:effectExtent l="0" t="0" r="0" b="0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2331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4679EC" w:rsidRDefault="005A5D5E">
      <w:pPr>
        <w:spacing w:after="57" w:line="259" w:lineRule="auto"/>
        <w:ind w:firstLine="0"/>
        <w:jc w:val="left"/>
      </w:pPr>
      <w:r>
        <w:rPr>
          <w:b/>
        </w:rPr>
        <w:t xml:space="preserve"> </w:t>
      </w:r>
    </w:p>
    <w:p w:rsidR="004679EC" w:rsidRDefault="005A5D5E">
      <w:pPr>
        <w:ind w:left="-5" w:right="38"/>
      </w:pPr>
      <w:r>
        <w:rPr>
          <w:b/>
          <w:u w:val="single" w:color="000000"/>
        </w:rPr>
        <w:lastRenderedPageBreak/>
        <w:t>Суть скарги:</w:t>
      </w:r>
      <w:r>
        <w:t xml:space="preserve"> Скаржник не погоджується з повторним рішенням Замовника щодо визначення переможцем конкурсу ТОВ "</w:t>
      </w:r>
      <w:proofErr w:type="spellStart"/>
      <w:r>
        <w:t>Моторпроект</w:t>
      </w:r>
      <w:proofErr w:type="spellEnd"/>
      <w:r>
        <w:t xml:space="preserve">" (далі – товариство). </w:t>
      </w:r>
    </w:p>
    <w:p w:rsidR="004679EC" w:rsidRDefault="005A5D5E">
      <w:pPr>
        <w:ind w:left="-5" w:right="38"/>
      </w:pPr>
      <w:r>
        <w:t xml:space="preserve">Так на виконання вимоги Замовника товариством надано сертифікат відповідності, </w:t>
      </w:r>
      <w:r>
        <w:rPr>
          <w:i/>
        </w:rPr>
        <w:t>"який за своїм змістом є нікчемн</w:t>
      </w:r>
      <w:r>
        <w:rPr>
          <w:i/>
        </w:rPr>
        <w:t>им та має ознаки підробки"</w:t>
      </w:r>
      <w:r>
        <w:t>. Таким чином, в діях ТОВ "</w:t>
      </w:r>
      <w:proofErr w:type="spellStart"/>
      <w:r>
        <w:t>Моторпроект</w:t>
      </w:r>
      <w:proofErr w:type="spellEnd"/>
      <w:r>
        <w:t xml:space="preserve">" наявні ознаки кримінального злочину, передбаченого ст. 358 ККУ "Підроблення документів, печаток, штампів та бланків, збут чи використання підроблених документів, печаток, штампів".  </w:t>
      </w:r>
    </w:p>
    <w:p w:rsidR="004679EC" w:rsidRDefault="005A5D5E">
      <w:pPr>
        <w:ind w:left="-5" w:right="38"/>
      </w:pPr>
      <w:r>
        <w:t xml:space="preserve">Так, у </w:t>
      </w:r>
      <w:r>
        <w:t>якості органу, який проводив сертифікацію, вказано ТОВ Центр добровільної сертифікації і стандартизації "</w:t>
      </w:r>
      <w:proofErr w:type="spellStart"/>
      <w:r>
        <w:t>Сумитехноконтроль</w:t>
      </w:r>
      <w:proofErr w:type="spellEnd"/>
      <w:r>
        <w:t>", за яким у Єдиному державному реєстрі юридичних осіб, фізичних осіб-підприємців та громадських формувань інформація відсутня. Крім т</w:t>
      </w:r>
      <w:r>
        <w:t>ого, товариства з назвою "</w:t>
      </w:r>
      <w:proofErr w:type="spellStart"/>
      <w:r>
        <w:t>Сумитехноконтроль</w:t>
      </w:r>
      <w:proofErr w:type="spellEnd"/>
      <w:r>
        <w:t xml:space="preserve">" не існує та форма наданого сертифікату не відповідає встановленій формі. </w:t>
      </w:r>
    </w:p>
    <w:p w:rsidR="004679EC" w:rsidRDefault="005A5D5E">
      <w:pPr>
        <w:ind w:left="-5" w:right="38"/>
      </w:pPr>
      <w:r>
        <w:t xml:space="preserve">Скаржник зауважує, що вимогу щодо усунення виявлених </w:t>
      </w:r>
      <w:proofErr w:type="spellStart"/>
      <w:r>
        <w:t>невідповідностей</w:t>
      </w:r>
      <w:proofErr w:type="spellEnd"/>
      <w:r>
        <w:t xml:space="preserve">, виконано несвоєчасно, а саме біль ніж через 24 години. </w:t>
      </w:r>
    </w:p>
    <w:p w:rsidR="004679EC" w:rsidRDefault="005A5D5E">
      <w:pPr>
        <w:ind w:left="-5" w:right="38"/>
      </w:pPr>
      <w:r>
        <w:rPr>
          <w:b/>
          <w:u w:val="single" w:color="000000"/>
        </w:rPr>
        <w:t>Вимога</w:t>
      </w:r>
      <w:r>
        <w:t>: ви</w:t>
      </w:r>
      <w:r>
        <w:t xml:space="preserve">вчити надані факти та при підтвердженні </w:t>
      </w:r>
      <w:proofErr w:type="spellStart"/>
      <w:r>
        <w:t>факта</w:t>
      </w:r>
      <w:proofErr w:type="spellEnd"/>
      <w:r>
        <w:t xml:space="preserve"> </w:t>
      </w:r>
      <w:proofErr w:type="spellStart"/>
      <w:r>
        <w:t>неіснування</w:t>
      </w:r>
      <w:proofErr w:type="spellEnd"/>
      <w:r>
        <w:t xml:space="preserve"> ТОВ Центр добровільної сертифікації і стандартизації "</w:t>
      </w:r>
      <w:proofErr w:type="spellStart"/>
      <w:r>
        <w:t>Сумитехноконтроль</w:t>
      </w:r>
      <w:proofErr w:type="spellEnd"/>
      <w:r>
        <w:t>" ініціювати службове розслідування, а за потреби подати заяву про вчинення кримінального злочину, відхилити пропозицію ТОВ "</w:t>
      </w:r>
      <w:proofErr w:type="spellStart"/>
      <w:r>
        <w:t>Мо</w:t>
      </w:r>
      <w:r>
        <w:t>торпроєкт</w:t>
      </w:r>
      <w:proofErr w:type="spellEnd"/>
      <w:r>
        <w:t xml:space="preserve">" та відмінити рішення про намір укласти договір про закупівлю з товариством. </w:t>
      </w:r>
    </w:p>
    <w:p w:rsidR="004679EC" w:rsidRDefault="005A5D5E" w:rsidP="005A5D5E">
      <w:pPr>
        <w:spacing w:line="276" w:lineRule="auto"/>
        <w:ind w:left="-5" w:right="38"/>
      </w:pPr>
      <w:r>
        <w:rPr>
          <w:b/>
          <w:u w:val="single" w:color="000000"/>
        </w:rPr>
        <w:t>Встановлено з пояснень замовника:</w:t>
      </w:r>
      <w:r>
        <w:t xml:space="preserve"> На виконання рішення Колегії з розгляду скарг (Протокол №37) до ТОВ "</w:t>
      </w:r>
      <w:proofErr w:type="spellStart"/>
      <w:r>
        <w:t>Моторпроєкт</w:t>
      </w:r>
      <w:proofErr w:type="spellEnd"/>
      <w:r>
        <w:t>" направлено вимогу з проханням усунути виявлені недол</w:t>
      </w:r>
      <w:r>
        <w:t xml:space="preserve">іки. Вимогу направлено 26.10.2021 о 08:22 та  виконано того ж дня о 17:33. </w:t>
      </w:r>
    </w:p>
    <w:p w:rsidR="004679EC" w:rsidRDefault="005A5D5E" w:rsidP="005A5D5E">
      <w:pPr>
        <w:spacing w:line="276" w:lineRule="auto"/>
        <w:ind w:left="-5" w:right="38"/>
      </w:pPr>
      <w:r>
        <w:t xml:space="preserve">Щодо наявності ознак кримінального злочину, то підприємство Замовника не є органом досудового слідства та розслідування в межах кримінальних справ. </w:t>
      </w:r>
    </w:p>
    <w:p w:rsidR="004679EC" w:rsidRDefault="005A5D5E" w:rsidP="005A5D5E">
      <w:pPr>
        <w:spacing w:after="52" w:line="276" w:lineRule="auto"/>
        <w:ind w:left="-15" w:right="36" w:firstLine="703"/>
      </w:pPr>
      <w:r>
        <w:t>Щодо невідповідності форми доку</w:t>
      </w:r>
      <w:r>
        <w:t xml:space="preserve">мента Замовник зазначив, що п. 10.36 Порядку </w:t>
      </w:r>
      <w:proofErr w:type="spellStart"/>
      <w:r>
        <w:t>закупівель</w:t>
      </w:r>
      <w:proofErr w:type="spellEnd"/>
      <w:r>
        <w:t xml:space="preserve"> підприємствами Концерну, затвердженого наказом від 29.11.2012 №333 зі змінами та доповненнями передбачено </w:t>
      </w:r>
      <w:r>
        <w:rPr>
          <w:i/>
        </w:rPr>
        <w:t>"у випадках інших розбіжностей поданої інформації для Замовника перевагу (порівняно з інформац</w:t>
      </w:r>
      <w:r>
        <w:rPr>
          <w:i/>
        </w:rPr>
        <w:t>ією з публічних джерел, каталогів, реєстрів тощо) мають офіційні документи від виробника, компетентних органів установ та закладів"</w:t>
      </w:r>
      <w:r>
        <w:t xml:space="preserve">. </w:t>
      </w:r>
    </w:p>
    <w:p w:rsidR="004679EC" w:rsidRDefault="005A5D5E">
      <w:pPr>
        <w:ind w:left="-5" w:right="3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>задовольнити час</w:t>
      </w:r>
      <w:bookmarkStart w:id="0" w:name="_GoBack"/>
      <w:bookmarkEnd w:id="0"/>
      <w:r>
        <w:rPr>
          <w:b/>
        </w:rPr>
        <w:t xml:space="preserve">тково </w:t>
      </w:r>
      <w:r>
        <w:t>скаргу                 ТОВ "Конструкторське бюро трубоп</w:t>
      </w:r>
      <w:r>
        <w:t xml:space="preserve">ровідної арматури і спеціальних робіт". </w:t>
      </w:r>
    </w:p>
    <w:p w:rsidR="004679EC" w:rsidRDefault="005A5D5E">
      <w:pPr>
        <w:ind w:left="-5" w:right="38"/>
      </w:pPr>
      <w:r>
        <w:t xml:space="preserve">Секретарю Колегії з розгляду скарг Концерну підготувати та направити до Замовника та Скаржника результати розгляду скарги. </w:t>
      </w:r>
      <w:r>
        <w:rPr>
          <w:b/>
        </w:rPr>
        <w:t xml:space="preserve"> </w:t>
      </w:r>
      <w:r>
        <w:t xml:space="preserve"> </w:t>
      </w:r>
    </w:p>
    <w:p w:rsidR="004679EC" w:rsidRDefault="005A5D5E" w:rsidP="005A5D5E">
      <w:pPr>
        <w:spacing w:after="7" w:line="295" w:lineRule="auto"/>
        <w:ind w:left="10" w:firstLine="694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 частково. При розгляді скарги підтвердилися факти, що в Єдин</w:t>
      </w:r>
      <w:r>
        <w:t xml:space="preserve">ому державному реєстрі юридичних осіб, фізичних осіб-підприємців та громадських формувань Міністерства юстиції </w:t>
      </w:r>
      <w:proofErr w:type="spellStart"/>
      <w:r>
        <w:t>Українина</w:t>
      </w:r>
      <w:proofErr w:type="spellEnd"/>
      <w:r>
        <w:t xml:space="preserve"> відсутня інформація щодо реєстрації ТОВ Центр добровільної </w:t>
      </w:r>
      <w:r>
        <w:tab/>
        <w:t xml:space="preserve">сертифікації </w:t>
      </w:r>
      <w:r>
        <w:tab/>
        <w:t xml:space="preserve">і </w:t>
      </w:r>
      <w:r>
        <w:tab/>
        <w:t xml:space="preserve">стандартизації </w:t>
      </w:r>
      <w:r>
        <w:tab/>
        <w:t>"</w:t>
      </w:r>
      <w:proofErr w:type="spellStart"/>
      <w:r>
        <w:t>Сумитехноконтроль</w:t>
      </w:r>
      <w:proofErr w:type="spellEnd"/>
      <w:r>
        <w:t xml:space="preserve">" </w:t>
      </w:r>
      <w:hyperlink r:id="rId8">
        <w:r>
          <w:t>(</w:t>
        </w:r>
      </w:hyperlink>
      <w:hyperlink r:id="rId9">
        <w:r>
          <w:rPr>
            <w:color w:val="0000FF"/>
            <w:u w:val="single" w:color="0000FF"/>
          </w:rPr>
          <w:t>https://usr.minjust.gov.ua/content/free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search</w:t>
        </w:r>
      </w:hyperlink>
      <w:hyperlink r:id="rId12">
        <w:r>
          <w:t>)</w:t>
        </w:r>
      </w:hyperlink>
      <w:r>
        <w:t xml:space="preserve">.  Окрім цього, у реєстрі акредитованих Органів оцінки відповідності </w:t>
      </w:r>
      <w:r>
        <w:tab/>
        <w:t xml:space="preserve">відсутня </w:t>
      </w:r>
      <w:r>
        <w:tab/>
        <w:t xml:space="preserve">інформація </w:t>
      </w:r>
      <w:r>
        <w:tab/>
        <w:t xml:space="preserve">щодо </w:t>
      </w:r>
      <w:r>
        <w:tab/>
        <w:t xml:space="preserve">вищезазначеного </w:t>
      </w:r>
      <w:r>
        <w:tab/>
        <w:t xml:space="preserve">органу </w:t>
      </w:r>
      <w:r>
        <w:tab/>
        <w:t xml:space="preserve">по </w:t>
      </w:r>
      <w:r>
        <w:t xml:space="preserve">сертифікації </w:t>
      </w:r>
    </w:p>
    <w:p w:rsidR="004679EC" w:rsidRDefault="005A5D5E" w:rsidP="005A5D5E">
      <w:pPr>
        <w:spacing w:after="60" w:line="259" w:lineRule="auto"/>
        <w:ind w:left="10" w:firstLine="0"/>
      </w:pPr>
      <w:hyperlink r:id="rId13">
        <w:r>
          <w:t>(</w:t>
        </w:r>
      </w:hyperlink>
      <w:hyperlink r:id="rId14">
        <w:r>
          <w:rPr>
            <w:color w:val="0000FF"/>
            <w:u w:val="single" w:color="0000FF"/>
          </w:rPr>
          <w:t>https</w:t>
        </w:r>
      </w:hyperlink>
      <w:hyperlink r:id="rId15">
        <w:r>
          <w:rPr>
            <w:color w:val="0000FF"/>
            <w:u w:val="single" w:color="0000FF"/>
          </w:rPr>
          <w:t>://</w:t>
        </w:r>
      </w:hyperlink>
      <w:hyperlink r:id="rId16">
        <w:r>
          <w:rPr>
            <w:color w:val="0000FF"/>
            <w:u w:val="single" w:color="0000FF"/>
          </w:rPr>
          <w:t>naau</w:t>
        </w:r>
      </w:hyperlink>
      <w:hyperlink r:id="rId17">
        <w:r>
          <w:rPr>
            <w:color w:val="0000FF"/>
            <w:u w:val="single" w:color="0000FF"/>
          </w:rPr>
          <w:t>.</w:t>
        </w:r>
      </w:hyperlink>
      <w:hyperlink r:id="rId18">
        <w:r>
          <w:rPr>
            <w:color w:val="0000FF"/>
            <w:u w:val="single" w:color="0000FF"/>
          </w:rPr>
          <w:t>org</w:t>
        </w:r>
      </w:hyperlink>
      <w:hyperlink r:id="rId19">
        <w:r>
          <w:rPr>
            <w:color w:val="0000FF"/>
            <w:u w:val="single" w:color="0000FF"/>
          </w:rPr>
          <w:t>.</w:t>
        </w:r>
      </w:hyperlink>
      <w:hyperlink r:id="rId20">
        <w:r>
          <w:rPr>
            <w:color w:val="0000FF"/>
            <w:u w:val="single" w:color="0000FF"/>
          </w:rPr>
          <w:t>ua</w:t>
        </w:r>
      </w:hyperlink>
      <w:hyperlink r:id="rId21">
        <w:r>
          <w:rPr>
            <w:color w:val="0000FF"/>
            <w:u w:val="single" w:color="0000FF"/>
          </w:rPr>
          <w:t>/</w:t>
        </w:r>
      </w:hyperlink>
      <w:hyperlink r:id="rId22">
        <w:r>
          <w:rPr>
            <w:color w:val="0000FF"/>
            <w:u w:val="single" w:color="0000FF"/>
          </w:rPr>
          <w:t>reyestr</w:t>
        </w:r>
      </w:hyperlink>
      <w:hyperlink r:id="rId23">
        <w:r>
          <w:rPr>
            <w:color w:val="0000FF"/>
            <w:u w:val="single" w:color="0000FF"/>
          </w:rPr>
          <w:t>-</w:t>
        </w:r>
      </w:hyperlink>
      <w:hyperlink r:id="rId24">
        <w:r>
          <w:rPr>
            <w:color w:val="0000FF"/>
            <w:u w:val="single" w:color="0000FF"/>
          </w:rPr>
          <w:t>akreditovanix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oov</w:t>
        </w:r>
      </w:hyperlink>
      <w:hyperlink r:id="rId27">
        <w:r>
          <w:rPr>
            <w:color w:val="0000FF"/>
            <w:u w:val="single" w:color="0000FF"/>
          </w:rPr>
          <w:t>/</w:t>
        </w:r>
      </w:hyperlink>
      <w:hyperlink r:id="rId28">
        <w:r>
          <w:t>)</w:t>
        </w:r>
      </w:hyperlink>
      <w:r>
        <w:t xml:space="preserve">.  </w:t>
      </w:r>
    </w:p>
    <w:p w:rsidR="004679EC" w:rsidRDefault="005A5D5E">
      <w:pPr>
        <w:ind w:left="-5" w:right="38"/>
      </w:pPr>
      <w:r>
        <w:t>Враховуючи викладене, для перевірки викладеної у скарзі інформації необхідно направити запит до учасника з вимогою надати інформацію щодо підтвердження якості продукції та її</w:t>
      </w:r>
      <w:r>
        <w:t xml:space="preserve"> походження. У разі відсутності обґрунтувань зі сторони товариства та підтвердження підозри щодо якості та походження товару, інформувати правоохоронні органи щодо можливого вчинення кримінального злочину за фактом підробки документів.  </w:t>
      </w:r>
    </w:p>
    <w:p w:rsidR="004679EC" w:rsidRDefault="005A5D5E">
      <w:pPr>
        <w:ind w:left="-5" w:right="38"/>
      </w:pPr>
      <w:r>
        <w:t>Надану учасником і</w:t>
      </w:r>
      <w:r>
        <w:t xml:space="preserve">нформацію надіслати на електронну адресу </w:t>
      </w:r>
      <w:r>
        <w:rPr>
          <w:color w:val="0000FF"/>
        </w:rPr>
        <w:t xml:space="preserve">control@ukroboronprom.com </w:t>
      </w:r>
      <w:r>
        <w:t xml:space="preserve">та повідомити Управління координації безпеки підприємств щодо інформування правоохоронних органів стосовно вчинення кримінального злочину </w:t>
      </w:r>
      <w:r>
        <w:rPr>
          <w:b/>
        </w:rPr>
        <w:t xml:space="preserve">до «12» листопада 2021.  </w:t>
      </w:r>
    </w:p>
    <w:p w:rsidR="004679EC" w:rsidRDefault="005A5D5E">
      <w:pPr>
        <w:spacing w:after="57"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:rsidR="004679EC" w:rsidRDefault="005A5D5E">
      <w:pPr>
        <w:ind w:left="-5" w:right="38"/>
      </w:pPr>
      <w:r>
        <w:rPr>
          <w:i/>
          <w:u w:val="single" w:color="000000"/>
        </w:rPr>
        <w:t>Скаржнику:</w:t>
      </w:r>
      <w:r>
        <w:t xml:space="preserve"> </w:t>
      </w:r>
      <w:r>
        <w:t>скаргу задоволено частково. На виконання рішення Колегії з розгляду скарг Замовником буде здійснено перевірку інформації про виробника продукції та її походження. У разі відсутності обґрунтувань зі сторони товариства та підтвердження підозри щодо якості та</w:t>
      </w:r>
      <w:r>
        <w:t xml:space="preserve"> походження товару, проінформовано правоохоронні органи щодо можливого вчинення кримінального злочину за фактом підробки документів.  </w:t>
      </w:r>
    </w:p>
    <w:p w:rsidR="004679EC" w:rsidRDefault="005A5D5E">
      <w:pPr>
        <w:spacing w:after="24" w:line="259" w:lineRule="auto"/>
        <w:ind w:left="-5" w:hanging="10"/>
        <w:jc w:val="left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"ЗА". </w:t>
      </w:r>
    </w:p>
    <w:p w:rsidR="004679EC" w:rsidRDefault="005A5D5E">
      <w:pPr>
        <w:spacing w:after="42" w:line="259" w:lineRule="auto"/>
        <w:ind w:firstLine="0"/>
        <w:jc w:val="left"/>
      </w:pPr>
      <w:r>
        <w:rPr>
          <w:b/>
        </w:rPr>
        <w:t xml:space="preserve"> </w:t>
      </w:r>
    </w:p>
    <w:p w:rsidR="005A5D5E" w:rsidRDefault="005A5D5E" w:rsidP="005A5D5E">
      <w:pPr>
        <w:spacing w:after="381" w:line="259" w:lineRule="auto"/>
        <w:ind w:left="3904" w:firstLine="0"/>
        <w:jc w:val="center"/>
      </w:pPr>
      <w:r>
        <w:rPr>
          <w:sz w:val="12"/>
        </w:rPr>
        <w:t>ДК УКРОБОРОНПРОМ</w:t>
      </w:r>
    </w:p>
    <w:p w:rsidR="005A5D5E" w:rsidRDefault="005A5D5E" w:rsidP="005A5D5E">
      <w:pPr>
        <w:pStyle w:val="1"/>
      </w:pPr>
      <w:r>
        <w:t></w:t>
      </w:r>
      <w:r>
        <w:t></w:t>
      </w:r>
      <w:r>
        <w:t></w:t>
      </w:r>
      <w:r>
        <w:t></w:t>
      </w:r>
      <w:r>
        <w:t></w:t>
      </w:r>
      <w:r>
        <w:t></w:t>
      </w:r>
      <w:r>
        <w:t></w:t>
      </w:r>
      <w:r>
        <w:t></w:t>
      </w:r>
      <w:r>
        <w:t></w:t>
      </w:r>
      <w:r>
        <w:t></w:t>
      </w:r>
    </w:p>
    <w:p w:rsidR="005A5D5E" w:rsidRDefault="005A5D5E" w:rsidP="005A5D5E">
      <w:pPr>
        <w:spacing w:after="0" w:line="259" w:lineRule="auto"/>
        <w:ind w:left="3904" w:firstLine="0"/>
        <w:jc w:val="center"/>
      </w:pPr>
      <w:r>
        <w:rPr>
          <w:sz w:val="16"/>
        </w:rPr>
        <w:t>3121728</w:t>
      </w:r>
    </w:p>
    <w:p w:rsidR="004679EC" w:rsidRDefault="004679EC">
      <w:pPr>
        <w:spacing w:after="0" w:line="259" w:lineRule="auto"/>
        <w:ind w:firstLine="0"/>
        <w:jc w:val="left"/>
      </w:pPr>
    </w:p>
    <w:sectPr w:rsidR="004679EC">
      <w:footerReference w:type="even" r:id="rId29"/>
      <w:footerReference w:type="default" r:id="rId30"/>
      <w:footerReference w:type="first" r:id="rId31"/>
      <w:pgSz w:w="11906" w:h="16838"/>
      <w:pgMar w:top="1138" w:right="843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5D5E">
      <w:pPr>
        <w:spacing w:after="0" w:line="240" w:lineRule="auto"/>
      </w:pPr>
      <w:r>
        <w:separator/>
      </w:r>
    </w:p>
  </w:endnote>
  <w:endnote w:type="continuationSeparator" w:id="0">
    <w:p w:rsidR="00000000" w:rsidRDefault="005A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EC" w:rsidRDefault="005A5D5E">
    <w:pPr>
      <w:spacing w:after="0" w:line="259" w:lineRule="auto"/>
      <w:ind w:right="859" w:firstLine="0"/>
      <w:jc w:val="center"/>
    </w:pPr>
    <w:r>
      <w:t>№ 39 від 08.11.2021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EC" w:rsidRDefault="005A5D5E">
    <w:pPr>
      <w:spacing w:after="0" w:line="259" w:lineRule="auto"/>
      <w:ind w:right="859" w:firstLine="0"/>
      <w:jc w:val="center"/>
    </w:pPr>
    <w:r>
      <w:t>№ 39 від 08.11.2021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EC" w:rsidRDefault="005A5D5E">
    <w:pPr>
      <w:spacing w:after="0" w:line="259" w:lineRule="auto"/>
      <w:ind w:right="859" w:firstLine="0"/>
      <w:jc w:val="center"/>
    </w:pPr>
    <w:r>
      <w:t>№ 39 від 08.11.2021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5D5E">
      <w:pPr>
        <w:spacing w:after="0" w:line="240" w:lineRule="auto"/>
      </w:pPr>
      <w:r>
        <w:separator/>
      </w:r>
    </w:p>
  </w:footnote>
  <w:footnote w:type="continuationSeparator" w:id="0">
    <w:p w:rsidR="00000000" w:rsidRDefault="005A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597"/>
    <w:multiLevelType w:val="hybridMultilevel"/>
    <w:tmpl w:val="09EE2944"/>
    <w:lvl w:ilvl="0" w:tplc="6FC68F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9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2AF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8B7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8C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C01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8A2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0E6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6A7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6356F"/>
    <w:multiLevelType w:val="hybridMultilevel"/>
    <w:tmpl w:val="36782C5A"/>
    <w:lvl w:ilvl="0" w:tplc="FB826C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A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C7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2E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4B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23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AC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29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24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A28B0"/>
    <w:multiLevelType w:val="hybridMultilevel"/>
    <w:tmpl w:val="67AA62CE"/>
    <w:lvl w:ilvl="0" w:tplc="E0B87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0AD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C4E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800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29C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493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AF16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07BE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40B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EC"/>
    <w:rsid w:val="004679EC"/>
    <w:rsid w:val="005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B7F8"/>
  <w15:docId w15:val="{FB26CB60-A5DD-42A2-B5F9-AEE89E3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3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04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au.org.ua/reyestr-akreditovanix-oov/" TargetMode="External"/><Relationship Id="rId18" Type="http://schemas.openxmlformats.org/officeDocument/2006/relationships/hyperlink" Target="https://naau.org.ua/reyestr-akreditovanix-oov/" TargetMode="External"/><Relationship Id="rId26" Type="http://schemas.openxmlformats.org/officeDocument/2006/relationships/hyperlink" Target="https://naau.org.ua/reyestr-akreditovanix-o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au.org.ua/reyestr-akreditovanix-oov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usr.minjust.gov.ua/content/free-search" TargetMode="External"/><Relationship Id="rId17" Type="http://schemas.openxmlformats.org/officeDocument/2006/relationships/hyperlink" Target="https://naau.org.ua/reyestr-akreditovanix-oov/" TargetMode="External"/><Relationship Id="rId25" Type="http://schemas.openxmlformats.org/officeDocument/2006/relationships/hyperlink" Target="https://naau.org.ua/reyestr-akreditovanix-oov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au.org.ua/reyestr-akreditovanix-oov/" TargetMode="External"/><Relationship Id="rId20" Type="http://schemas.openxmlformats.org/officeDocument/2006/relationships/hyperlink" Target="https://naau.org.ua/reyestr-akreditovanix-oov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r.minjust.gov.ua/content/free-search" TargetMode="External"/><Relationship Id="rId24" Type="http://schemas.openxmlformats.org/officeDocument/2006/relationships/hyperlink" Target="https://naau.org.ua/reyestr-akreditovanix-oov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au.org.ua/reyestr-akreditovanix-oov/" TargetMode="External"/><Relationship Id="rId23" Type="http://schemas.openxmlformats.org/officeDocument/2006/relationships/hyperlink" Target="https://naau.org.ua/reyestr-akreditovanix-oov/" TargetMode="External"/><Relationship Id="rId28" Type="http://schemas.openxmlformats.org/officeDocument/2006/relationships/hyperlink" Target="https://naau.org.ua/reyestr-akreditovanix-oov/" TargetMode="External"/><Relationship Id="rId10" Type="http://schemas.openxmlformats.org/officeDocument/2006/relationships/hyperlink" Target="https://usr.minjust.gov.ua/content/free-search" TargetMode="External"/><Relationship Id="rId19" Type="http://schemas.openxmlformats.org/officeDocument/2006/relationships/hyperlink" Target="https://naau.org.ua/reyestr-akreditovanix-oov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sr.minjust.gov.ua/content/free-search" TargetMode="External"/><Relationship Id="rId14" Type="http://schemas.openxmlformats.org/officeDocument/2006/relationships/hyperlink" Target="https://naau.org.ua/reyestr-akreditovanix-oov/" TargetMode="External"/><Relationship Id="rId22" Type="http://schemas.openxmlformats.org/officeDocument/2006/relationships/hyperlink" Target="https://naau.org.ua/reyestr-akreditovanix-oov/" TargetMode="External"/><Relationship Id="rId27" Type="http://schemas.openxmlformats.org/officeDocument/2006/relationships/hyperlink" Target="https://naau.org.ua/reyestr-akreditovanix-oov/" TargetMode="External"/><Relationship Id="rId30" Type="http://schemas.openxmlformats.org/officeDocument/2006/relationships/footer" Target="footer2.xml"/><Relationship Id="rId8" Type="http://schemas.openxmlformats.org/officeDocument/2006/relationships/hyperlink" Target="https://usr.minjust.gov.ua/content/free-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4277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2021-11-08T14:47:00Z</dcterms:created>
  <dcterms:modified xsi:type="dcterms:W3CDTF">2021-11-08T14:47:00Z</dcterms:modified>
</cp:coreProperties>
</file>